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宋体" w:hAnsi="宋体" w:eastAsia="宋体" w:cs="宋体"/>
          <w:b/>
          <w:bCs/>
          <w:color w:val="000000"/>
          <w:sz w:val="44"/>
          <w:szCs w:val="44"/>
        </w:rPr>
      </w:pPr>
      <w:r>
        <w:rPr>
          <w:rFonts w:hint="eastAsia" w:ascii="宋体" w:hAnsi="宋体" w:eastAsia="宋体" w:cs="宋体"/>
          <w:b/>
          <w:bCs/>
          <w:color w:val="000000"/>
          <w:sz w:val="44"/>
          <w:szCs w:val="44"/>
        </w:rPr>
        <w:t>潮安县凤凰镇总体规划（2010—2020）局部调整完善方案</w:t>
      </w:r>
    </w:p>
    <w:p>
      <w:pPr>
        <w:pStyle w:val="8"/>
        <w:numPr>
          <w:ilvl w:val="0"/>
          <w:numId w:val="1"/>
        </w:numPr>
        <w:ind w:firstLineChars="0"/>
        <w:rPr>
          <w:b/>
          <w:bCs/>
          <w:color w:val="000000"/>
          <w:sz w:val="32"/>
          <w:szCs w:val="32"/>
        </w:rPr>
      </w:pPr>
      <w:r>
        <w:rPr>
          <w:rFonts w:hint="eastAsia"/>
          <w:b/>
          <w:bCs/>
          <w:color w:val="000000"/>
          <w:sz w:val="32"/>
          <w:szCs w:val="32"/>
        </w:rPr>
        <w:t>规划调整完善背景和原因</w:t>
      </w:r>
    </w:p>
    <w:p>
      <w:pPr>
        <w:autoSpaceDE w:val="0"/>
        <w:spacing w:line="600" w:lineRule="exact"/>
        <w:ind w:firstLine="560" w:firstLineChars="200"/>
        <w:textAlignment w:val="baseline"/>
        <w:rPr>
          <w:rFonts w:ascii="宋体" w:hAnsi="宋体"/>
          <w:sz w:val="28"/>
          <w:szCs w:val="28"/>
        </w:rPr>
      </w:pPr>
      <w:r>
        <w:rPr>
          <w:rFonts w:hint="eastAsia" w:ascii="宋体" w:hAnsi="宋体"/>
          <w:sz w:val="28"/>
          <w:szCs w:val="28"/>
        </w:rPr>
        <w:t>近年来，随着乡村振兴战略的推动和脱贫攻坚工作的不断深入以及</w:t>
      </w:r>
      <w:r>
        <w:rPr>
          <w:rFonts w:ascii="宋体" w:hAnsi="宋体"/>
          <w:sz w:val="28"/>
          <w:szCs w:val="28"/>
        </w:rPr>
        <w:t>广东实施振兴东西北发展战略</w:t>
      </w:r>
      <w:r>
        <w:rPr>
          <w:rFonts w:hint="eastAsia" w:ascii="宋体" w:hAnsi="宋体"/>
          <w:sz w:val="28"/>
          <w:szCs w:val="28"/>
        </w:rPr>
        <w:t>、</w:t>
      </w:r>
      <w:r>
        <w:rPr>
          <w:rFonts w:ascii="宋体" w:hAnsi="宋体"/>
          <w:sz w:val="28"/>
          <w:szCs w:val="28"/>
        </w:rPr>
        <w:t>汕潮揭加快同城化步伐</w:t>
      </w:r>
      <w:r>
        <w:rPr>
          <w:rFonts w:hint="eastAsia" w:ascii="宋体" w:hAnsi="宋体"/>
          <w:sz w:val="28"/>
          <w:szCs w:val="28"/>
        </w:rPr>
        <w:t>等一系列战略部署、重大建设工程项目及社会变革等，对凤凰镇的经济社会发展及《规划》实施带来巨大的影响，具体体现在：</w:t>
      </w:r>
    </w:p>
    <w:p>
      <w:pPr>
        <w:spacing w:line="600" w:lineRule="exact"/>
        <w:ind w:firstLine="562" w:firstLineChars="200"/>
        <w:textAlignment w:val="baseline"/>
        <w:rPr>
          <w:rFonts w:hint="eastAsia" w:ascii="宋体" w:hAnsi="宋体"/>
          <w:b/>
          <w:bCs/>
          <w:sz w:val="28"/>
          <w:szCs w:val="28"/>
        </w:rPr>
      </w:pPr>
      <w:r>
        <w:rPr>
          <w:rFonts w:hint="eastAsia" w:ascii="宋体" w:hAnsi="宋体"/>
          <w:b/>
          <w:bCs/>
          <w:sz w:val="28"/>
          <w:szCs w:val="28"/>
        </w:rPr>
        <w:t>1、实施乡村振兴战略，打好精准脱贫攻坚战</w:t>
      </w:r>
    </w:p>
    <w:p>
      <w:pPr>
        <w:autoSpaceDE w:val="0"/>
        <w:spacing w:line="600" w:lineRule="exact"/>
        <w:ind w:firstLine="560" w:firstLineChars="200"/>
        <w:textAlignment w:val="baseline"/>
        <w:rPr>
          <w:rFonts w:hint="eastAsia" w:ascii="宋体" w:hAnsi="宋体"/>
          <w:sz w:val="28"/>
          <w:szCs w:val="28"/>
        </w:rPr>
      </w:pPr>
      <w:r>
        <w:rPr>
          <w:rFonts w:hint="eastAsia" w:ascii="宋体" w:hAnsi="宋体"/>
          <w:sz w:val="28"/>
          <w:szCs w:val="28"/>
        </w:rPr>
        <w:t>中共十九大报告中指出，要实施乡村振兴战略，不断促进农村一二三产业融合发展。实施乡村振兴战略要不断统筹推进农村经济建设、政治建设、文化建设、社会建设、生态文明建设和党的建设，加快推进乡村治理体系和治理能力现代化，加快推进农业农村现代化，走中国特色社会主义乡村振兴道路；要重塑城乡关系，走城乡融合发展之路；坚持人与自然和谐共生，走乡村绿色发展之路；打好精准脱贫攻坚战，走中国特色减贫之路。推动凤凰镇生态旅游和现代农业的发展，符合乡村战略和脱贫攻坚的要求。</w:t>
      </w:r>
    </w:p>
    <w:p>
      <w:pPr>
        <w:pStyle w:val="3"/>
        <w:ind w:firstLine="562"/>
        <w:rPr>
          <w:rFonts w:hint="eastAsia"/>
          <w:b/>
          <w:bCs/>
          <w:sz w:val="28"/>
          <w:szCs w:val="28"/>
        </w:rPr>
      </w:pPr>
      <w:r>
        <w:rPr>
          <w:rFonts w:hint="eastAsia"/>
          <w:b/>
          <w:bCs/>
          <w:sz w:val="28"/>
          <w:szCs w:val="28"/>
        </w:rPr>
        <w:t>2、加快镇域经济发展，打造特色茶旅小镇</w:t>
      </w:r>
    </w:p>
    <w:p>
      <w:pPr>
        <w:pStyle w:val="3"/>
        <w:ind w:firstLine="560"/>
        <w:rPr>
          <w:rFonts w:hint="eastAsia"/>
          <w:sz w:val="28"/>
          <w:szCs w:val="28"/>
        </w:rPr>
      </w:pPr>
      <w:r>
        <w:rPr>
          <w:rFonts w:hint="eastAsia"/>
          <w:sz w:val="28"/>
          <w:szCs w:val="28"/>
        </w:rPr>
        <w:t>加快镇域经济发展是统筹城乡发展、搞好新农村建设的必由之路。加快镇域经济发展，应不断推进城乡一体化建设，形成以城带乡、以乡促城、城乡互动的城乡发展新格局，努力构建更平衡协调的城乡发展格局。全面推动镇域经济的发展壮大，打造特色城镇，坚持产业兴镇、特色强镇，充分发挥镇街资源优势，打造“一镇一业”，建立各具特色的新型城镇发展格局。凤凰镇是中国乌龙茶之乡，应抓住自身发展优势，坚持“绿水青山就是金山银山”的发展理念，结合凤凰实际，以创建“茶旅特色小镇”为目标，振兴乡村高质量发展，从而促进镇域经济快速发展。</w:t>
      </w:r>
    </w:p>
    <w:p>
      <w:pPr>
        <w:spacing w:line="600" w:lineRule="exact"/>
        <w:ind w:firstLine="562" w:firstLineChars="200"/>
        <w:jc w:val="left"/>
        <w:textAlignment w:val="baseline"/>
        <w:rPr>
          <w:rFonts w:hint="eastAsia" w:ascii="宋体" w:hAnsi="宋体"/>
          <w:b/>
          <w:bCs/>
          <w:kern w:val="0"/>
          <w:sz w:val="28"/>
          <w:szCs w:val="28"/>
        </w:rPr>
      </w:pPr>
      <w:r>
        <w:rPr>
          <w:rFonts w:hint="eastAsia" w:ascii="宋体" w:hAnsi="宋体"/>
          <w:b/>
          <w:bCs/>
          <w:kern w:val="0"/>
          <w:sz w:val="28"/>
          <w:szCs w:val="28"/>
        </w:rPr>
        <w:t>3、省振兴粤东西北地区经济发展战略对潮安区凤凰镇的带动</w:t>
      </w:r>
    </w:p>
    <w:p>
      <w:pPr>
        <w:autoSpaceDE w:val="0"/>
        <w:spacing w:line="600" w:lineRule="exact"/>
        <w:ind w:firstLine="560" w:firstLineChars="200"/>
        <w:textAlignment w:val="baseline"/>
        <w:rPr>
          <w:rFonts w:hint="eastAsia" w:ascii="Times New Roman" w:hAnsi="宋体"/>
          <w:sz w:val="28"/>
          <w:szCs w:val="28"/>
        </w:rPr>
      </w:pPr>
      <w:r>
        <w:rPr>
          <w:rFonts w:hint="eastAsia" w:ascii="宋体" w:hAnsi="宋体"/>
          <w:sz w:val="28"/>
          <w:szCs w:val="28"/>
        </w:rPr>
        <w:t>为改变广东省地区经济发展极不平衡状态，省委、省政府出台了《关于进一步促进粤东西北地区振兴经济发展的决定》（简称《决定》），吹响了粤东西北地区振兴经济发展的号角；</w:t>
      </w:r>
      <w:r>
        <w:rPr>
          <w:rFonts w:ascii="宋体" w:hAnsi="宋体"/>
          <w:sz w:val="28"/>
          <w:szCs w:val="28"/>
        </w:rPr>
        <w:t>《决定》</w:t>
      </w:r>
      <w:r>
        <w:rPr>
          <w:rFonts w:hint="eastAsia" w:ascii="宋体" w:hAnsi="宋体"/>
          <w:sz w:val="28"/>
          <w:szCs w:val="28"/>
        </w:rPr>
        <w:t>提出：到2020年五年期间，广</w:t>
      </w:r>
      <w:r>
        <w:rPr>
          <w:rFonts w:ascii="宋体" w:hAnsi="宋体"/>
          <w:sz w:val="28"/>
          <w:szCs w:val="28"/>
        </w:rPr>
        <w:t>东省财政将统筹安排</w:t>
      </w:r>
      <w:r>
        <w:rPr>
          <w:rFonts w:hAnsi="宋体"/>
          <w:sz w:val="28"/>
          <w:szCs w:val="28"/>
        </w:rPr>
        <w:t>6720</w:t>
      </w:r>
      <w:r>
        <w:rPr>
          <w:rFonts w:ascii="宋体" w:hAnsi="宋体"/>
          <w:sz w:val="28"/>
          <w:szCs w:val="28"/>
        </w:rPr>
        <w:t>亿资金，帮助粤东西北地区的基础设施、产业、公共服务、农业等方面“升级”，并加大力度落实税收扶持、金融政策、生态补偿、人才引进等机制，振兴粤东西北，打造广东另一个“经济发动机”，实现广东的九年大跨越</w:t>
      </w:r>
      <w:r>
        <w:rPr>
          <w:rFonts w:hint="eastAsia" w:ascii="宋体" w:hAnsi="宋体"/>
          <w:sz w:val="28"/>
          <w:szCs w:val="28"/>
        </w:rPr>
        <w:t>；同时</w:t>
      </w:r>
      <w:r>
        <w:rPr>
          <w:rFonts w:ascii="宋体" w:hAnsi="宋体"/>
          <w:sz w:val="28"/>
          <w:szCs w:val="28"/>
        </w:rPr>
        <w:t>提出粤东加快建设汕潮揭城市群，实现资源共享、一体化发展。乘着两</w:t>
      </w:r>
      <w:r>
        <w:rPr>
          <w:rFonts w:hint="eastAsia" w:ascii="宋体" w:hAnsi="宋体"/>
          <w:sz w:val="28"/>
          <w:szCs w:val="28"/>
        </w:rPr>
        <w:t>股</w:t>
      </w:r>
      <w:r>
        <w:rPr>
          <w:rFonts w:hAnsi="宋体"/>
          <w:sz w:val="28"/>
          <w:szCs w:val="28"/>
        </w:rPr>
        <w:t>“东风”，潮州建设成为广东特色经济示范区、重要临港产业基地、粤东特色旅游目的地、有重要影响力的历史文化名城将更加主动</w:t>
      </w:r>
      <w:r>
        <w:rPr>
          <w:rFonts w:hint="eastAsia" w:ascii="宋体" w:hAnsi="宋体"/>
          <w:sz w:val="28"/>
          <w:szCs w:val="28"/>
        </w:rPr>
        <w:t>，潮州市被列入国家新型城镇综合改革试点城市（全省两个市），对潮安区凤凰镇的发展必将带来深远影响。</w:t>
      </w:r>
    </w:p>
    <w:p>
      <w:pPr>
        <w:spacing w:line="600" w:lineRule="exact"/>
        <w:ind w:firstLine="562" w:firstLineChars="200"/>
        <w:textAlignment w:val="baseline"/>
        <w:rPr>
          <w:rFonts w:ascii="宋体" w:hAnsi="宋体"/>
          <w:b/>
          <w:bCs/>
          <w:kern w:val="0"/>
          <w:sz w:val="28"/>
          <w:szCs w:val="28"/>
        </w:rPr>
      </w:pPr>
      <w:r>
        <w:rPr>
          <w:rFonts w:hint="eastAsia" w:ascii="宋体" w:hAnsi="宋体"/>
          <w:b/>
          <w:bCs/>
          <w:kern w:val="0"/>
          <w:sz w:val="28"/>
          <w:szCs w:val="28"/>
        </w:rPr>
        <w:t>4、《潮州市城市总体规划（2015-2035年）》</w:t>
      </w:r>
    </w:p>
    <w:p>
      <w:pPr>
        <w:spacing w:line="600" w:lineRule="exact"/>
        <w:ind w:firstLine="560" w:firstLineChars="200"/>
        <w:textAlignment w:val="baseline"/>
        <w:rPr>
          <w:rFonts w:hint="eastAsia" w:ascii="Times New Roman" w:hAnsi="宋体"/>
          <w:sz w:val="28"/>
          <w:szCs w:val="28"/>
        </w:rPr>
      </w:pPr>
      <w:r>
        <w:rPr>
          <w:rFonts w:hint="eastAsia" w:ascii="宋体" w:hAnsi="宋体"/>
          <w:sz w:val="28"/>
          <w:szCs w:val="28"/>
        </w:rPr>
        <w:t>《潮州市城市总体规划（2015-2035）》指出</w:t>
      </w:r>
      <w:r>
        <w:rPr>
          <w:rFonts w:hint="eastAsia"/>
          <w:sz w:val="28"/>
          <w:szCs w:val="28"/>
        </w:rPr>
        <w:t>2020</w:t>
      </w:r>
      <w:r>
        <w:rPr>
          <w:rFonts w:hint="eastAsia" w:ascii="宋体" w:hAnsi="宋体"/>
          <w:sz w:val="28"/>
          <w:szCs w:val="28"/>
        </w:rPr>
        <w:t>年的发展目标：将潮州初步建成全球潮人的文化交流中心，闽粤跨界的综合交通门户，特色鲜明的新兴产业集聚地，环境优美的绿色生态城市，为广东省全面建成小康社会贡献潮州力量。《潮州市城市总体规划（</w:t>
      </w:r>
      <w:r>
        <w:rPr>
          <w:rFonts w:hint="eastAsia"/>
          <w:sz w:val="28"/>
          <w:szCs w:val="28"/>
        </w:rPr>
        <w:t>2015-2035</w:t>
      </w:r>
      <w:r>
        <w:rPr>
          <w:rFonts w:hint="eastAsia" w:ascii="宋体" w:hAnsi="宋体"/>
          <w:sz w:val="28"/>
          <w:szCs w:val="28"/>
        </w:rPr>
        <w:t>）》将凤凰镇城镇性质定义为市域重点镇和以生态旅游为主导的旅游型城镇，强调要以凤凰山为核心资源，以维护自然乡土风貌与旅游景观为重点，建设特色农业生态旅游区，推进以茶叶为主导的现代化农业生产。</w:t>
      </w:r>
    </w:p>
    <w:p>
      <w:pPr>
        <w:spacing w:line="600" w:lineRule="exact"/>
        <w:ind w:firstLine="560" w:firstLineChars="200"/>
        <w:textAlignment w:val="baseline"/>
        <w:rPr>
          <w:rFonts w:hAnsi="宋体"/>
          <w:sz w:val="28"/>
          <w:szCs w:val="28"/>
        </w:rPr>
      </w:pPr>
      <w:r>
        <w:rPr>
          <w:rFonts w:ascii="宋体" w:hAnsi="宋体"/>
          <w:sz w:val="28"/>
          <w:szCs w:val="28"/>
        </w:rPr>
        <w:t>在上述的区域发展背景和形势下，调整《规划》的工作提到</w:t>
      </w:r>
      <w:r>
        <w:rPr>
          <w:rFonts w:hint="eastAsia" w:ascii="宋体" w:hAnsi="宋体"/>
          <w:sz w:val="28"/>
          <w:szCs w:val="28"/>
        </w:rPr>
        <w:t>凤凰镇政府</w:t>
      </w:r>
      <w:r>
        <w:rPr>
          <w:rFonts w:ascii="宋体" w:hAnsi="宋体"/>
          <w:sz w:val="28"/>
          <w:szCs w:val="28"/>
        </w:rPr>
        <w:t>的议事日程</w:t>
      </w:r>
      <w:r>
        <w:rPr>
          <w:rFonts w:hint="eastAsia" w:ascii="宋体" w:hAnsi="宋体"/>
          <w:sz w:val="28"/>
          <w:szCs w:val="28"/>
        </w:rPr>
        <w:t>。</w:t>
      </w:r>
    </w:p>
    <w:p>
      <w:pPr>
        <w:pStyle w:val="8"/>
        <w:numPr>
          <w:ilvl w:val="0"/>
          <w:numId w:val="1"/>
        </w:numPr>
        <w:ind w:firstLineChars="0"/>
        <w:rPr>
          <w:b/>
          <w:bCs/>
          <w:color w:val="000000"/>
          <w:sz w:val="32"/>
          <w:szCs w:val="32"/>
        </w:rPr>
      </w:pPr>
      <w:r>
        <w:rPr>
          <w:rFonts w:hint="eastAsia"/>
          <w:b/>
          <w:bCs/>
          <w:color w:val="000000"/>
          <w:sz w:val="32"/>
          <w:szCs w:val="32"/>
        </w:rPr>
        <w:t>规划调整程序</w:t>
      </w:r>
    </w:p>
    <w:p>
      <w:pPr>
        <w:spacing w:line="600" w:lineRule="exact"/>
        <w:ind w:firstLine="560" w:firstLineChars="200"/>
        <w:textAlignment w:val="baseline"/>
        <w:rPr>
          <w:rFonts w:hint="eastAsia" w:ascii="宋体" w:hAnsi="宋体"/>
          <w:sz w:val="28"/>
          <w:szCs w:val="28"/>
        </w:rPr>
      </w:pPr>
      <w:r>
        <w:rPr>
          <w:rFonts w:hint="eastAsia" w:ascii="宋体" w:hAnsi="宋体"/>
          <w:sz w:val="28"/>
          <w:szCs w:val="28"/>
        </w:rPr>
        <w:t>根据《中华人民共和国城乡规划法》（2019 年修正）第四十七条：</w:t>
      </w:r>
    </w:p>
    <w:p>
      <w:pPr>
        <w:spacing w:line="600" w:lineRule="exact"/>
        <w:ind w:firstLine="560" w:firstLineChars="200"/>
        <w:textAlignment w:val="baseline"/>
        <w:rPr>
          <w:rFonts w:hint="eastAsia" w:ascii="宋体" w:hAnsi="宋体"/>
          <w:sz w:val="28"/>
          <w:szCs w:val="28"/>
        </w:rPr>
      </w:pPr>
      <w:r>
        <w:rPr>
          <w:rFonts w:hint="eastAsia" w:ascii="宋体" w:hAnsi="宋体"/>
          <w:sz w:val="28"/>
          <w:szCs w:val="28"/>
        </w:rPr>
        <w:t>“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 。</w:t>
      </w:r>
    </w:p>
    <w:p>
      <w:pPr>
        <w:spacing w:line="600" w:lineRule="exact"/>
        <w:ind w:firstLine="560" w:firstLineChars="200"/>
        <w:textAlignment w:val="baseline"/>
        <w:rPr>
          <w:rFonts w:hint="eastAsia" w:ascii="宋体" w:hAnsi="宋体"/>
          <w:sz w:val="28"/>
          <w:szCs w:val="28"/>
        </w:rPr>
      </w:pPr>
      <w:r>
        <w:rPr>
          <w:rFonts w:hint="eastAsia" w:ascii="宋体" w:hAnsi="宋体"/>
          <w:sz w:val="28"/>
          <w:szCs w:val="28"/>
        </w:rPr>
        <w:t>2020年</w:t>
      </w:r>
      <w:r>
        <w:rPr>
          <w:rFonts w:ascii="宋体" w:hAnsi="宋体"/>
          <w:sz w:val="28"/>
          <w:szCs w:val="28"/>
        </w:rPr>
        <w:t>6</w:t>
      </w:r>
      <w:r>
        <w:rPr>
          <w:rFonts w:hint="eastAsia" w:ascii="宋体" w:hAnsi="宋体"/>
          <w:sz w:val="28"/>
          <w:szCs w:val="28"/>
        </w:rPr>
        <w:t>月，凤凰镇人民政府对现行规划的实施情况进行总结，并向潮安区人民政府报告，要求开展《潮安县凤凰镇总体规划（20</w:t>
      </w:r>
      <w:r>
        <w:rPr>
          <w:rFonts w:ascii="宋体" w:hAnsi="宋体"/>
          <w:sz w:val="28"/>
          <w:szCs w:val="28"/>
        </w:rPr>
        <w:t>10</w:t>
      </w:r>
      <w:r>
        <w:rPr>
          <w:rFonts w:hint="eastAsia" w:ascii="宋体" w:hAnsi="宋体"/>
          <w:sz w:val="28"/>
          <w:szCs w:val="28"/>
        </w:rPr>
        <w:t>-2020）》局部调整完善工作。2020年</w:t>
      </w:r>
      <w:r>
        <w:rPr>
          <w:rFonts w:ascii="宋体" w:hAnsi="宋体"/>
          <w:sz w:val="28"/>
          <w:szCs w:val="28"/>
        </w:rPr>
        <w:t>6</w:t>
      </w:r>
      <w:r>
        <w:rPr>
          <w:rFonts w:hint="eastAsia" w:ascii="宋体" w:hAnsi="宋体"/>
          <w:sz w:val="28"/>
          <w:szCs w:val="28"/>
        </w:rPr>
        <w:t>月</w:t>
      </w:r>
      <w:r>
        <w:rPr>
          <w:rFonts w:ascii="宋体" w:hAnsi="宋体"/>
          <w:sz w:val="28"/>
          <w:szCs w:val="28"/>
        </w:rPr>
        <w:t>8</w:t>
      </w:r>
      <w:r>
        <w:rPr>
          <w:rFonts w:hint="eastAsia" w:ascii="宋体" w:hAnsi="宋体"/>
          <w:sz w:val="28"/>
          <w:szCs w:val="28"/>
        </w:rPr>
        <w:t>日，根据潮州市潮安区人民政府复函《关于调整修编&lt;潮安县凤凰镇总体规划（20</w:t>
      </w:r>
      <w:r>
        <w:rPr>
          <w:rFonts w:ascii="宋体" w:hAnsi="宋体"/>
          <w:sz w:val="28"/>
          <w:szCs w:val="28"/>
        </w:rPr>
        <w:t>10</w:t>
      </w:r>
      <w:r>
        <w:rPr>
          <w:rFonts w:hint="eastAsia" w:ascii="宋体" w:hAnsi="宋体"/>
          <w:sz w:val="28"/>
          <w:szCs w:val="28"/>
        </w:rPr>
        <w:t>-2020）&gt;有关问题的复函》（安府办函[2020]2</w:t>
      </w:r>
      <w:r>
        <w:rPr>
          <w:rFonts w:ascii="宋体" w:hAnsi="宋体"/>
          <w:sz w:val="28"/>
          <w:szCs w:val="28"/>
        </w:rPr>
        <w:t>7</w:t>
      </w:r>
      <w:r>
        <w:rPr>
          <w:rFonts w:hint="eastAsia" w:ascii="宋体" w:hAnsi="宋体"/>
          <w:sz w:val="28"/>
          <w:szCs w:val="28"/>
        </w:rPr>
        <w:t>6 号），潮安区人民政府同意对《潮安县凤凰镇总体规划（2010-2020）》进行局部调整修编。</w:t>
      </w:r>
    </w:p>
    <w:p>
      <w:pPr>
        <w:spacing w:line="600" w:lineRule="exact"/>
        <w:ind w:firstLine="560" w:firstLineChars="200"/>
        <w:textAlignment w:val="baseline"/>
        <w:rPr>
          <w:rFonts w:hint="eastAsia" w:ascii="宋体" w:hAnsi="宋体"/>
          <w:sz w:val="28"/>
          <w:szCs w:val="28"/>
        </w:rPr>
      </w:pPr>
      <w:r>
        <w:rPr>
          <w:rFonts w:hint="eastAsia" w:ascii="宋体" w:hAnsi="宋体"/>
          <w:sz w:val="28"/>
          <w:szCs w:val="28"/>
        </w:rPr>
        <w:t>随后，凤凰镇人民政府委托广东省科学院广州地理研究所编制规</w:t>
      </w:r>
    </w:p>
    <w:p>
      <w:pPr>
        <w:spacing w:line="600" w:lineRule="exact"/>
        <w:textAlignment w:val="baseline"/>
        <w:rPr>
          <w:rFonts w:ascii="宋体" w:hAnsi="宋体"/>
          <w:sz w:val="28"/>
          <w:szCs w:val="28"/>
        </w:rPr>
      </w:pPr>
      <w:r>
        <w:rPr>
          <w:rFonts w:hint="eastAsia" w:ascii="宋体" w:hAnsi="宋体"/>
          <w:sz w:val="28"/>
          <w:szCs w:val="28"/>
        </w:rPr>
        <w:t>划局部调整完善方案。2020 年</w:t>
      </w:r>
      <w:r>
        <w:rPr>
          <w:rFonts w:ascii="宋体" w:hAnsi="宋体"/>
          <w:sz w:val="28"/>
          <w:szCs w:val="28"/>
        </w:rPr>
        <w:t>9</w:t>
      </w:r>
      <w:r>
        <w:rPr>
          <w:rFonts w:hint="eastAsia" w:ascii="宋体" w:hAnsi="宋体"/>
          <w:sz w:val="28"/>
          <w:szCs w:val="28"/>
        </w:rPr>
        <w:t>月</w:t>
      </w:r>
      <w:r>
        <w:rPr>
          <w:rFonts w:ascii="宋体" w:hAnsi="宋体"/>
          <w:sz w:val="28"/>
          <w:szCs w:val="28"/>
        </w:rPr>
        <w:t>15</w:t>
      </w:r>
      <w:r>
        <w:rPr>
          <w:rFonts w:hint="eastAsia" w:ascii="宋体" w:hAnsi="宋体"/>
          <w:sz w:val="28"/>
          <w:szCs w:val="28"/>
        </w:rPr>
        <w:t>日，凤凰镇人民政府组织召开了《潮安县凤凰镇总体规划（20</w:t>
      </w:r>
      <w:r>
        <w:rPr>
          <w:rFonts w:ascii="宋体" w:hAnsi="宋体"/>
          <w:sz w:val="28"/>
          <w:szCs w:val="28"/>
        </w:rPr>
        <w:t>10</w:t>
      </w:r>
      <w:r>
        <w:rPr>
          <w:rFonts w:hint="eastAsia" w:ascii="宋体" w:hAnsi="宋体"/>
          <w:sz w:val="28"/>
          <w:szCs w:val="28"/>
        </w:rPr>
        <w:t>-2020）局部调整完善方案》专家评审会，市、区相关专业五名专家及区相关部门参加会议。会议一致通过《潮安县凤凰镇总体规划（20</w:t>
      </w:r>
      <w:r>
        <w:rPr>
          <w:rFonts w:ascii="宋体" w:hAnsi="宋体"/>
          <w:sz w:val="28"/>
          <w:szCs w:val="28"/>
        </w:rPr>
        <w:t>10</w:t>
      </w:r>
      <w:r>
        <w:rPr>
          <w:rFonts w:hint="eastAsia" w:ascii="宋体" w:hAnsi="宋体"/>
          <w:sz w:val="28"/>
          <w:szCs w:val="28"/>
        </w:rPr>
        <w:t>-2020）局部调整完善方案》，并提出了具体的修改意见。</w:t>
      </w:r>
      <w:bookmarkStart w:id="0" w:name="_GoBack"/>
      <w:bookmarkEnd w:id="0"/>
    </w:p>
    <w:p>
      <w:pPr>
        <w:pStyle w:val="8"/>
        <w:numPr>
          <w:ilvl w:val="0"/>
          <w:numId w:val="1"/>
        </w:numPr>
        <w:ind w:firstLineChars="0"/>
        <w:rPr>
          <w:b/>
          <w:bCs/>
          <w:color w:val="000000"/>
          <w:sz w:val="32"/>
          <w:szCs w:val="32"/>
        </w:rPr>
      </w:pPr>
      <w:r>
        <w:rPr>
          <w:rFonts w:hint="eastAsia"/>
          <w:b/>
          <w:bCs/>
          <w:color w:val="000000"/>
          <w:sz w:val="32"/>
          <w:szCs w:val="32"/>
        </w:rPr>
        <w:t>规划调整详情</w:t>
      </w:r>
    </w:p>
    <w:p>
      <w:pPr>
        <w:pStyle w:val="10"/>
        <w:ind w:firstLine="560"/>
        <w:rPr>
          <w:rFonts w:ascii="宋体" w:hAnsi="宋体"/>
          <w:sz w:val="28"/>
          <w:szCs w:val="28"/>
        </w:rPr>
      </w:pPr>
      <w:r>
        <w:rPr>
          <w:rFonts w:ascii="宋体" w:hAnsi="宋体"/>
          <w:sz w:val="28"/>
          <w:szCs w:val="28"/>
        </w:rPr>
        <w:t>本次规划调整</w:t>
      </w:r>
      <w:r>
        <w:rPr>
          <w:rFonts w:hint="eastAsia" w:ascii="宋体" w:hAnsi="宋体"/>
          <w:sz w:val="28"/>
          <w:szCs w:val="28"/>
        </w:rPr>
        <w:t>完善</w:t>
      </w:r>
      <w:r>
        <w:rPr>
          <w:rFonts w:ascii="宋体" w:hAnsi="宋体"/>
          <w:sz w:val="28"/>
          <w:szCs w:val="28"/>
        </w:rPr>
        <w:t>方案涉及调整的用地分为镇区和镇区外围村庄两个部分，共涉及</w:t>
      </w:r>
      <w:r>
        <w:rPr>
          <w:rFonts w:hAnsi="宋体"/>
          <w:sz w:val="28"/>
          <w:szCs w:val="28"/>
        </w:rPr>
        <w:t>1</w:t>
      </w:r>
      <w:r>
        <w:rPr>
          <w:rFonts w:hint="eastAsia" w:ascii="宋体" w:hAnsi="宋体"/>
          <w:sz w:val="28"/>
          <w:szCs w:val="28"/>
        </w:rPr>
        <w:t>2</w:t>
      </w:r>
      <w:r>
        <w:rPr>
          <w:rFonts w:ascii="宋体" w:hAnsi="宋体"/>
          <w:sz w:val="28"/>
          <w:szCs w:val="28"/>
        </w:rPr>
        <w:t>处地块（编号为地块</w:t>
      </w:r>
      <w:r>
        <w:rPr>
          <w:rFonts w:hAnsi="宋体"/>
          <w:sz w:val="28"/>
          <w:szCs w:val="28"/>
        </w:rPr>
        <w:t>01-1</w:t>
      </w:r>
      <w:r>
        <w:rPr>
          <w:rFonts w:hint="eastAsia" w:ascii="宋体" w:hAnsi="宋体"/>
          <w:sz w:val="28"/>
          <w:szCs w:val="28"/>
        </w:rPr>
        <w:t>2</w:t>
      </w:r>
      <w:r>
        <w:rPr>
          <w:rFonts w:ascii="宋体" w:hAnsi="宋体"/>
          <w:sz w:val="28"/>
          <w:szCs w:val="28"/>
        </w:rPr>
        <w:t>），用地面积共</w:t>
      </w:r>
      <w:r>
        <w:rPr>
          <w:rFonts w:hint="eastAsia" w:ascii="宋体" w:hAnsi="宋体"/>
          <w:sz w:val="28"/>
          <w:szCs w:val="28"/>
        </w:rPr>
        <w:t>8.38</w:t>
      </w:r>
      <w:r>
        <w:rPr>
          <w:rFonts w:ascii="宋体" w:hAnsi="宋体"/>
          <w:sz w:val="28"/>
          <w:szCs w:val="28"/>
        </w:rPr>
        <w:t>公顷，具体调整情况如下：</w:t>
      </w:r>
    </w:p>
    <w:p>
      <w:pPr>
        <w:pStyle w:val="10"/>
        <w:ind w:firstLine="560"/>
      </w:pPr>
      <w:r>
        <w:rPr>
          <w:rFonts w:ascii="宋体" w:hAnsi="宋体"/>
          <w:sz w:val="28"/>
          <w:szCs w:val="28"/>
        </w:rPr>
        <w:t>镇区用地调整共涉及</w:t>
      </w:r>
      <w:r>
        <w:rPr>
          <w:rFonts w:hAnsi="宋体"/>
          <w:sz w:val="28"/>
          <w:szCs w:val="28"/>
        </w:rPr>
        <w:t>2</w:t>
      </w:r>
      <w:r>
        <w:rPr>
          <w:rFonts w:ascii="宋体" w:hAnsi="宋体"/>
          <w:sz w:val="28"/>
          <w:szCs w:val="28"/>
        </w:rPr>
        <w:t>个地块</w:t>
      </w:r>
      <w:r>
        <w:rPr>
          <w:rFonts w:hint="eastAsia" w:ascii="宋体" w:hAnsi="宋体"/>
          <w:sz w:val="28"/>
          <w:szCs w:val="28"/>
        </w:rPr>
        <w:t>（编号为地块0</w:t>
      </w:r>
      <w:r>
        <w:rPr>
          <w:rFonts w:ascii="宋体" w:hAnsi="宋体"/>
          <w:sz w:val="28"/>
          <w:szCs w:val="28"/>
        </w:rPr>
        <w:t>1</w:t>
      </w:r>
      <w:r>
        <w:rPr>
          <w:rFonts w:hint="eastAsia" w:ascii="宋体" w:hAnsi="宋体"/>
          <w:sz w:val="28"/>
          <w:szCs w:val="28"/>
        </w:rPr>
        <w:t>-</w:t>
      </w:r>
      <w:r>
        <w:rPr>
          <w:rFonts w:ascii="宋体" w:hAnsi="宋体"/>
          <w:sz w:val="28"/>
          <w:szCs w:val="28"/>
        </w:rPr>
        <w:t>02</w:t>
      </w:r>
      <w:r>
        <w:rPr>
          <w:rFonts w:hint="eastAsia" w:ascii="宋体" w:hAnsi="宋体"/>
          <w:sz w:val="28"/>
          <w:szCs w:val="28"/>
        </w:rPr>
        <w:t>）</w:t>
      </w:r>
      <w:r>
        <w:rPr>
          <w:rFonts w:ascii="宋体" w:hAnsi="宋体"/>
          <w:sz w:val="28"/>
          <w:szCs w:val="28"/>
        </w:rPr>
        <w:t>，面积</w:t>
      </w:r>
      <w:r>
        <w:rPr>
          <w:sz w:val="28"/>
          <w:szCs w:val="28"/>
        </w:rPr>
        <w:t>0.82</w:t>
      </w:r>
      <w:r>
        <w:rPr>
          <w:rFonts w:ascii="宋体" w:hAnsi="宋体"/>
          <w:sz w:val="28"/>
          <w:szCs w:val="28"/>
        </w:rPr>
        <w:t>公顷</w:t>
      </w:r>
      <w:r>
        <w:rPr>
          <w:rFonts w:hint="eastAsia" w:ascii="宋体" w:hAnsi="宋体"/>
          <w:sz w:val="28"/>
          <w:szCs w:val="28"/>
        </w:rPr>
        <w:t>，调整后镇区用地详情见表 1：</w:t>
      </w:r>
    </w:p>
    <w:p>
      <w:pPr>
        <w:autoSpaceDE w:val="0"/>
        <w:snapToGrid w:val="0"/>
        <w:spacing w:line="600" w:lineRule="exact"/>
        <w:jc w:val="center"/>
        <w:rPr>
          <w:rFonts w:ascii="宋体" w:hAnsi="宋体" w:eastAsia="宋体" w:cs="宋体"/>
          <w:b/>
          <w:bCs/>
          <w:sz w:val="24"/>
          <w:szCs w:val="24"/>
        </w:rPr>
      </w:pPr>
      <w:r>
        <w:rPr>
          <w:rFonts w:hint="eastAsia" w:ascii="宋体" w:hAnsi="宋体" w:eastAsia="宋体" w:cs="宋体"/>
          <w:b/>
          <w:bCs/>
          <w:sz w:val="24"/>
          <w:szCs w:val="24"/>
        </w:rPr>
        <w:t>表</w:t>
      </w:r>
      <w:r>
        <w:rPr>
          <w:rFonts w:ascii="宋体" w:hAnsi="宋体" w:eastAsia="宋体" w:cs="宋体"/>
          <w:b/>
          <w:bCs/>
          <w:sz w:val="24"/>
          <w:szCs w:val="24"/>
        </w:rPr>
        <w:t>1</w:t>
      </w:r>
      <w:r>
        <w:rPr>
          <w:rFonts w:hint="eastAsia" w:ascii="宋体" w:hAnsi="宋体" w:eastAsia="宋体" w:cs="宋体"/>
          <w:b/>
          <w:bCs/>
          <w:sz w:val="24"/>
          <w:szCs w:val="24"/>
        </w:rPr>
        <w:t xml:space="preserve">  镇区2个地块调整前后用地情况对比表  </w:t>
      </w:r>
    </w:p>
    <w:p>
      <w:pPr>
        <w:snapToGrid w:val="0"/>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单位：</w:t>
      </w:r>
      <w:r>
        <w:rPr>
          <w:rFonts w:hint="eastAsia" w:ascii="宋体" w:hAnsi="宋体" w:eastAsia="宋体" w:cs="宋体"/>
          <w:color w:val="000000"/>
          <w:kern w:val="0"/>
          <w:sz w:val="24"/>
          <w:szCs w:val="24"/>
        </w:rPr>
        <w:t xml:space="preserve">公顷  </w:t>
      </w:r>
    </w:p>
    <w:tbl>
      <w:tblPr>
        <w:tblStyle w:val="6"/>
        <w:tblW w:w="86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4"/>
        <w:gridCol w:w="1285"/>
        <w:gridCol w:w="2233"/>
        <w:gridCol w:w="1142"/>
        <w:gridCol w:w="2250"/>
        <w:gridCol w:w="1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44"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序号</w:t>
            </w:r>
          </w:p>
        </w:tc>
        <w:tc>
          <w:tcPr>
            <w:tcW w:w="1285" w:type="dxa"/>
            <w:vMerge w:val="restart"/>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名称</w:t>
            </w:r>
          </w:p>
        </w:tc>
        <w:tc>
          <w:tcPr>
            <w:tcW w:w="337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用地调整前</w:t>
            </w:r>
          </w:p>
        </w:tc>
        <w:tc>
          <w:tcPr>
            <w:tcW w:w="3254"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4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bCs/>
                <w:color w:val="000000"/>
                <w:kern w:val="0"/>
                <w:sz w:val="24"/>
                <w:szCs w:val="24"/>
              </w:rPr>
            </w:pPr>
          </w:p>
        </w:tc>
        <w:tc>
          <w:tcPr>
            <w:tcW w:w="1285"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color w:val="000000"/>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地类名称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面积</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地类名称</w:t>
            </w:r>
          </w:p>
        </w:tc>
        <w:tc>
          <w:tcPr>
            <w:tcW w:w="100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jc w:val="center"/>
        </w:trPr>
        <w:tc>
          <w:tcPr>
            <w:tcW w:w="74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1</w:t>
            </w:r>
          </w:p>
        </w:tc>
        <w:tc>
          <w:tcPr>
            <w:tcW w:w="1285"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地块01</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居住用地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0.47</w:t>
            </w:r>
          </w:p>
        </w:tc>
        <w:tc>
          <w:tcPr>
            <w:tcW w:w="2250"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商业设施用地</w:t>
            </w:r>
          </w:p>
        </w:tc>
        <w:tc>
          <w:tcPr>
            <w:tcW w:w="1004"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jc w:val="center"/>
        </w:trPr>
        <w:tc>
          <w:tcPr>
            <w:tcW w:w="744" w:type="dxa"/>
            <w:vMerge w:val="restart"/>
            <w:tcBorders>
              <w:top w:val="nil"/>
              <w:left w:val="single" w:color="auto" w:sz="4" w:space="0"/>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2</w:t>
            </w:r>
          </w:p>
        </w:tc>
        <w:tc>
          <w:tcPr>
            <w:tcW w:w="1285"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地块02</w:t>
            </w: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防护绿地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0.08</w:t>
            </w:r>
          </w:p>
        </w:tc>
        <w:tc>
          <w:tcPr>
            <w:tcW w:w="2250"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环境设施用地</w:t>
            </w:r>
          </w:p>
        </w:tc>
        <w:tc>
          <w:tcPr>
            <w:tcW w:w="1004" w:type="dxa"/>
            <w:vMerge w:val="restart"/>
            <w:tcBorders>
              <w:top w:val="nil"/>
              <w:left w:val="nil"/>
              <w:bottom w:val="single" w:color="auto" w:sz="4" w:space="0"/>
              <w:right w:val="single" w:color="auto" w:sz="4" w:space="0"/>
            </w:tcBorders>
            <w:vAlign w:val="center"/>
          </w:tcPr>
          <w:p>
            <w:pPr>
              <w:widowControl/>
              <w:jc w:val="center"/>
              <w:rPr>
                <w:rFonts w:hint="eastAsia" w:ascii="宋体" w:hAnsi="宋体" w:eastAsia="宋体" w:cs="Times New Roman"/>
                <w:kern w:val="0"/>
                <w:sz w:val="24"/>
                <w:szCs w:val="24"/>
              </w:rPr>
            </w:pPr>
            <w:r>
              <w:rPr>
                <w:rFonts w:hint="eastAsia" w:ascii="宋体" w:hAnsi="宋体" w:eastAsia="宋体" w:cs="Times New Roman"/>
                <w:kern w:val="0"/>
                <w:sz w:val="24"/>
                <w:szCs w:val="24"/>
              </w:rPr>
              <w:t>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2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道路用地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0.11</w:t>
            </w:r>
          </w:p>
        </w:tc>
        <w:tc>
          <w:tcPr>
            <w:tcW w:w="325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004"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4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color w:val="000000"/>
                <w:kern w:val="0"/>
                <w:sz w:val="24"/>
                <w:szCs w:val="24"/>
              </w:rPr>
            </w:pPr>
          </w:p>
        </w:tc>
        <w:tc>
          <w:tcPr>
            <w:tcW w:w="1285"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kern w:val="0"/>
                <w:sz w:val="24"/>
                <w:szCs w:val="24"/>
              </w:rPr>
            </w:pPr>
          </w:p>
        </w:tc>
        <w:tc>
          <w:tcPr>
            <w:tcW w:w="2233"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教育科研用地</w:t>
            </w:r>
          </w:p>
        </w:tc>
        <w:tc>
          <w:tcPr>
            <w:tcW w:w="1142" w:type="dxa"/>
            <w:tcBorders>
              <w:top w:val="single" w:color="auto" w:sz="4" w:space="0"/>
              <w:left w:val="nil"/>
              <w:bottom w:val="single" w:color="auto" w:sz="4" w:space="0"/>
              <w:right w:val="single" w:color="auto" w:sz="4" w:space="0"/>
            </w:tcBorders>
            <w:vAlign w:val="center"/>
          </w:tcPr>
          <w:p>
            <w:pPr>
              <w:widowControl/>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0.16</w:t>
            </w:r>
          </w:p>
        </w:tc>
        <w:tc>
          <w:tcPr>
            <w:tcW w:w="225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防护绿地</w:t>
            </w:r>
          </w:p>
        </w:tc>
        <w:tc>
          <w:tcPr>
            <w:tcW w:w="1004"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Times New Roman"/>
                <w:color w:val="000000"/>
                <w:kern w:val="0"/>
                <w:sz w:val="24"/>
                <w:szCs w:val="24"/>
              </w:rPr>
            </w:pPr>
            <w:r>
              <w:rPr>
                <w:rFonts w:hint="eastAsia" w:ascii="宋体" w:hAnsi="宋体" w:eastAsia="宋体" w:cs="Times New Roman"/>
                <w:color w:val="000000"/>
                <w:kern w:val="0"/>
                <w:sz w:val="24"/>
                <w:szCs w:val="24"/>
              </w:rPr>
              <w:t>0.06</w:t>
            </w:r>
          </w:p>
        </w:tc>
      </w:tr>
    </w:tbl>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r>
        <w:rPr>
          <w:rFonts w:hint="eastAsia" w:ascii="宋体" w:hAnsi="宋体" w:eastAsia="宋体" w:cs="Times New Roman"/>
          <w:sz w:val="28"/>
          <w:szCs w:val="28"/>
        </w:rPr>
        <w:t>镇区外围用地调整共涉及10个地块（编号为地块</w:t>
      </w:r>
      <w:r>
        <w:rPr>
          <w:rFonts w:ascii="宋体" w:hAnsi="宋体" w:eastAsia="宋体" w:cs="Times New Roman"/>
          <w:sz w:val="28"/>
          <w:szCs w:val="28"/>
        </w:rPr>
        <w:t>03</w:t>
      </w:r>
      <w:r>
        <w:rPr>
          <w:rFonts w:hint="eastAsia" w:ascii="宋体" w:hAnsi="宋体" w:eastAsia="宋体" w:cs="Times New Roman"/>
          <w:sz w:val="28"/>
          <w:szCs w:val="28"/>
        </w:rPr>
        <w:t>-</w:t>
      </w:r>
      <w:r>
        <w:rPr>
          <w:rFonts w:ascii="宋体" w:hAnsi="宋体" w:eastAsia="宋体" w:cs="Times New Roman"/>
          <w:sz w:val="28"/>
          <w:szCs w:val="28"/>
        </w:rPr>
        <w:t>1</w:t>
      </w:r>
      <w:r>
        <w:rPr>
          <w:rFonts w:hint="eastAsia" w:ascii="宋体" w:hAnsi="宋体" w:eastAsia="宋体" w:cs="Times New Roman"/>
          <w:sz w:val="28"/>
          <w:szCs w:val="28"/>
        </w:rPr>
        <w:t xml:space="preserve">2），面积共7.56公顷，调整后镇区用地详情见表 </w:t>
      </w:r>
      <w:r>
        <w:rPr>
          <w:rFonts w:ascii="宋体" w:hAnsi="宋体" w:eastAsia="宋体" w:cs="Times New Roman"/>
          <w:sz w:val="28"/>
          <w:szCs w:val="28"/>
        </w:rPr>
        <w:t>2</w:t>
      </w:r>
      <w:r>
        <w:rPr>
          <w:rFonts w:hint="eastAsia" w:ascii="宋体" w:hAnsi="宋体" w:eastAsia="宋体" w:cs="Times New Roman"/>
          <w:sz w:val="28"/>
          <w:szCs w:val="28"/>
        </w:rPr>
        <w:t>：</w:t>
      </w: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ascii="宋体" w:hAnsi="宋体" w:eastAsia="宋体" w:cs="Times New Roman"/>
          <w:sz w:val="28"/>
          <w:szCs w:val="28"/>
        </w:rPr>
      </w:pPr>
    </w:p>
    <w:p>
      <w:pPr>
        <w:widowControl/>
        <w:autoSpaceDE w:val="0"/>
        <w:spacing w:line="600" w:lineRule="exact"/>
        <w:ind w:firstLine="560" w:firstLineChars="200"/>
        <w:rPr>
          <w:rFonts w:hint="eastAsia" w:ascii="宋体" w:hAnsi="宋体" w:eastAsia="宋体" w:cs="Times New Roman"/>
          <w:sz w:val="28"/>
          <w:szCs w:val="28"/>
        </w:rPr>
      </w:pPr>
    </w:p>
    <w:p>
      <w:pPr>
        <w:autoSpaceDE w:val="0"/>
        <w:snapToGrid w:val="0"/>
        <w:spacing w:line="600" w:lineRule="exact"/>
        <w:jc w:val="center"/>
        <w:rPr>
          <w:rFonts w:ascii="宋体" w:hAnsi="宋体" w:eastAsia="宋体" w:cs="宋体"/>
          <w:b/>
          <w:bCs/>
          <w:sz w:val="24"/>
          <w:szCs w:val="24"/>
        </w:rPr>
      </w:pPr>
      <w:r>
        <w:rPr>
          <w:rFonts w:hint="eastAsia" w:ascii="宋体" w:hAnsi="宋体" w:eastAsia="宋体" w:cs="宋体"/>
          <w:b/>
          <w:bCs/>
          <w:sz w:val="24"/>
          <w:szCs w:val="24"/>
        </w:rPr>
        <w:t>表</w:t>
      </w:r>
      <w:r>
        <w:rPr>
          <w:rFonts w:ascii="宋体" w:hAnsi="宋体" w:eastAsia="宋体" w:cs="宋体"/>
          <w:b/>
          <w:bCs/>
          <w:sz w:val="24"/>
          <w:szCs w:val="24"/>
        </w:rPr>
        <w:t>2</w:t>
      </w:r>
      <w:r>
        <w:rPr>
          <w:rFonts w:hint="eastAsia" w:ascii="宋体" w:hAnsi="宋体" w:eastAsia="宋体" w:cs="宋体"/>
          <w:b/>
          <w:bCs/>
          <w:sz w:val="24"/>
          <w:szCs w:val="24"/>
        </w:rPr>
        <w:t xml:space="preserve">  镇区外围</w:t>
      </w:r>
      <w:r>
        <w:rPr>
          <w:rFonts w:ascii="宋体" w:hAnsi="宋体" w:eastAsia="宋体" w:cs="宋体"/>
          <w:b/>
          <w:bCs/>
          <w:sz w:val="24"/>
          <w:szCs w:val="24"/>
        </w:rPr>
        <w:t>10</w:t>
      </w:r>
      <w:r>
        <w:rPr>
          <w:rFonts w:hint="eastAsia" w:ascii="宋体" w:hAnsi="宋体" w:eastAsia="宋体" w:cs="宋体"/>
          <w:b/>
          <w:bCs/>
          <w:sz w:val="24"/>
          <w:szCs w:val="24"/>
        </w:rPr>
        <w:t xml:space="preserve">个地块调整前后用地情况对比表  </w:t>
      </w:r>
    </w:p>
    <w:p>
      <w:pPr>
        <w:snapToGrid w:val="0"/>
        <w:spacing w:line="360" w:lineRule="auto"/>
        <w:jc w:val="center"/>
        <w:rPr>
          <w:rFonts w:hint="eastAsia" w:ascii="宋体" w:hAnsi="宋体" w:eastAsia="宋体" w:cs="宋体"/>
          <w:sz w:val="24"/>
          <w:szCs w:val="24"/>
        </w:rPr>
      </w:pPr>
      <w:r>
        <w:rPr>
          <w:rFonts w:hint="eastAsia" w:ascii="宋体" w:hAnsi="宋体" w:eastAsia="宋体" w:cs="宋体"/>
          <w:b/>
          <w:bCs/>
          <w:sz w:val="24"/>
          <w:szCs w:val="24"/>
        </w:rPr>
        <w:t xml:space="preserve">                                              </w:t>
      </w:r>
      <w:r>
        <w:rPr>
          <w:rFonts w:hint="eastAsia" w:ascii="宋体" w:hAnsi="宋体" w:eastAsia="宋体" w:cs="宋体"/>
          <w:sz w:val="24"/>
          <w:szCs w:val="24"/>
        </w:rPr>
        <w:t xml:space="preserve"> 单位：</w:t>
      </w:r>
      <w:r>
        <w:rPr>
          <w:rFonts w:hint="eastAsia" w:ascii="宋体" w:hAnsi="宋体" w:eastAsia="宋体" w:cs="宋体"/>
          <w:color w:val="000000"/>
          <w:kern w:val="0"/>
          <w:sz w:val="24"/>
          <w:szCs w:val="24"/>
        </w:rPr>
        <w:t xml:space="preserve">公顷  </w:t>
      </w:r>
    </w:p>
    <w:tbl>
      <w:tblPr>
        <w:tblStyle w:val="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
        <w:gridCol w:w="1612"/>
        <w:gridCol w:w="1764"/>
        <w:gridCol w:w="1439"/>
        <w:gridCol w:w="1803"/>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Merge w:val="restar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ascii="宋体" w:hAnsi="宋体" w:eastAsia="宋体" w:cs="Times New Roman"/>
                <w:b/>
                <w:bCs/>
                <w:sz w:val="24"/>
                <w:szCs w:val="24"/>
              </w:rPr>
            </w:pPr>
            <w:r>
              <w:rPr>
                <w:rFonts w:hint="eastAsia" w:ascii="宋体" w:hAnsi="宋体" w:eastAsia="宋体" w:cs="Times New Roman"/>
                <w:b/>
                <w:bCs/>
                <w:sz w:val="24"/>
                <w:szCs w:val="24"/>
              </w:rPr>
              <w:t>序号</w:t>
            </w:r>
          </w:p>
        </w:tc>
        <w:tc>
          <w:tcPr>
            <w:tcW w:w="946" w:type="pct"/>
            <w:vMerge w:val="restar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b/>
                <w:bCs/>
                <w:sz w:val="24"/>
                <w:szCs w:val="24"/>
              </w:rPr>
            </w:pPr>
            <w:r>
              <w:rPr>
                <w:rFonts w:hint="eastAsia" w:ascii="宋体" w:hAnsi="宋体" w:eastAsia="宋体" w:cs="Times New Roman"/>
                <w:b/>
                <w:bCs/>
                <w:sz w:val="24"/>
                <w:szCs w:val="24"/>
              </w:rPr>
              <w:t>名称</w:t>
            </w:r>
          </w:p>
        </w:tc>
        <w:tc>
          <w:tcPr>
            <w:tcW w:w="1878" w:type="pct"/>
            <w:gridSpan w:val="2"/>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用地调整前</w:t>
            </w:r>
          </w:p>
        </w:tc>
        <w:tc>
          <w:tcPr>
            <w:tcW w:w="1687" w:type="pct"/>
            <w:gridSpan w:val="2"/>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b/>
                <w:bCs/>
                <w:color w:val="000000"/>
                <w:kern w:val="0"/>
                <w:sz w:val="24"/>
                <w:szCs w:val="24"/>
              </w:rPr>
            </w:pPr>
            <w:r>
              <w:rPr>
                <w:rFonts w:hint="eastAsia" w:ascii="宋体" w:hAnsi="宋体" w:eastAsia="宋体" w:cs="Times New Roman"/>
                <w:b/>
                <w:bCs/>
                <w:color w:val="000000"/>
                <w:kern w:val="0"/>
                <w:sz w:val="24"/>
                <w:szCs w:val="24"/>
              </w:rPr>
              <w:t>用地调整后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Times New Roman"/>
                <w:b/>
                <w:bCs/>
                <w:sz w:val="24"/>
                <w:szCs w:val="24"/>
              </w:rPr>
            </w:pPr>
          </w:p>
        </w:tc>
        <w:tc>
          <w:tcPr>
            <w:tcW w:w="0" w:type="auto"/>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eastAsia="宋体" w:cs="Times New Roman"/>
                <w:b/>
                <w:bCs/>
                <w:sz w:val="24"/>
                <w:szCs w:val="24"/>
              </w:rPr>
            </w:pP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地类名称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面积</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地类名称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1</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地块03</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农村居民点</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0.11</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地块04</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0.21</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8"/>
                <w:szCs w:val="28"/>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3</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地块05</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0.04</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8"/>
                <w:szCs w:val="28"/>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Merge w:val="restart"/>
            <w:tcBorders>
              <w:top w:val="nil"/>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4</w:t>
            </w:r>
          </w:p>
        </w:tc>
        <w:tc>
          <w:tcPr>
            <w:tcW w:w="946" w:type="pct"/>
            <w:vMerge w:val="restart"/>
            <w:tcBorders>
              <w:top w:val="nil"/>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地块06</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0.3</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vMerge w:val="restart"/>
            <w:tcBorders>
              <w:top w:val="nil"/>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农村居民点</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0.1</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vMerge w:val="restart"/>
            <w:tcBorders>
              <w:top w:val="nil"/>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5</w:t>
            </w:r>
          </w:p>
        </w:tc>
        <w:tc>
          <w:tcPr>
            <w:tcW w:w="946" w:type="pct"/>
            <w:vMerge w:val="restart"/>
            <w:tcBorders>
              <w:top w:val="nil"/>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地块07</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0.01</w:t>
            </w:r>
          </w:p>
        </w:tc>
        <w:tc>
          <w:tcPr>
            <w:tcW w:w="1058" w:type="pct"/>
            <w:vMerge w:val="restart"/>
            <w:tcBorders>
              <w:top w:val="nil"/>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vMerge w:val="restart"/>
            <w:tcBorders>
              <w:top w:val="nil"/>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0" w:type="auto"/>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农村居民点</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0.09</w:t>
            </w: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c>
          <w:tcPr>
            <w:tcW w:w="0" w:type="auto"/>
            <w:vMerge w:val="continue"/>
            <w:tcBorders>
              <w:top w:val="nil"/>
              <w:left w:val="nil"/>
              <w:bottom w:val="single" w:color="auto" w:sz="4" w:space="0"/>
              <w:right w:val="single" w:color="auto" w:sz="4" w:space="0"/>
            </w:tcBorders>
            <w:vAlign w:val="center"/>
          </w:tcPr>
          <w:p>
            <w:pPr>
              <w:widowControl/>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Cs w:val="21"/>
              </w:rPr>
            </w:pPr>
            <w:r>
              <w:rPr>
                <w:rFonts w:hint="eastAsia" w:ascii="宋体" w:hAnsi="宋体" w:eastAsia="宋体" w:cs="Times New Roman"/>
                <w:szCs w:val="21"/>
              </w:rPr>
              <w:t>6</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Times New Roman" w:hAnsi="Times New Roman" w:eastAsia="宋体" w:cs="Times New Roman"/>
                <w:szCs w:val="21"/>
              </w:rPr>
            </w:pPr>
            <w:r>
              <w:rPr>
                <w:rFonts w:hint="eastAsia" w:ascii="宋体" w:hAnsi="宋体" w:eastAsia="宋体" w:cs="Times New Roman"/>
                <w:sz w:val="24"/>
                <w:szCs w:val="24"/>
              </w:rPr>
              <w:t>地块08</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3.54</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7</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地块09</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农村居民点</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0.22</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8</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地块10</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工业用地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2</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9</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地块11</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0.21</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商业设施用地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489" w:type="pct"/>
            <w:tcBorders>
              <w:top w:val="single" w:color="auto" w:sz="4" w:space="0"/>
              <w:left w:val="single" w:color="auto" w:sz="4" w:space="0"/>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10</w:t>
            </w:r>
          </w:p>
        </w:tc>
        <w:tc>
          <w:tcPr>
            <w:tcW w:w="946"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地块12</w:t>
            </w:r>
          </w:p>
        </w:tc>
        <w:tc>
          <w:tcPr>
            <w:tcW w:w="1035"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农林用地</w:t>
            </w:r>
          </w:p>
        </w:tc>
        <w:tc>
          <w:tcPr>
            <w:tcW w:w="844"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0.73</w:t>
            </w:r>
          </w:p>
        </w:tc>
        <w:tc>
          <w:tcPr>
            <w:tcW w:w="1058"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工业用地</w:t>
            </w:r>
          </w:p>
        </w:tc>
        <w:tc>
          <w:tcPr>
            <w:tcW w:w="629" w:type="pct"/>
            <w:tcBorders>
              <w:top w:val="single" w:color="auto" w:sz="4" w:space="0"/>
              <w:left w:val="nil"/>
              <w:bottom w:val="single" w:color="auto" w:sz="4" w:space="0"/>
              <w:right w:val="single" w:color="auto" w:sz="4" w:space="0"/>
            </w:tcBorders>
            <w:vAlign w:val="center"/>
          </w:tcPr>
          <w:p>
            <w:pPr>
              <w:keepNext/>
              <w:keepLines/>
              <w:autoSpaceDE w:val="0"/>
              <w:spacing w:line="600" w:lineRule="exact"/>
              <w:jc w:val="center"/>
              <w:rPr>
                <w:rFonts w:hint="eastAsia" w:ascii="宋体" w:hAnsi="宋体" w:eastAsia="宋体" w:cs="Times New Roman"/>
                <w:sz w:val="24"/>
                <w:szCs w:val="24"/>
              </w:rPr>
            </w:pPr>
            <w:r>
              <w:rPr>
                <w:rFonts w:hint="eastAsia" w:ascii="宋体" w:hAnsi="宋体" w:eastAsia="宋体" w:cs="Times New Roman"/>
                <w:sz w:val="24"/>
                <w:szCs w:val="24"/>
              </w:rPr>
              <w:t>0.73</w:t>
            </w:r>
          </w:p>
        </w:tc>
      </w:tr>
    </w:tbl>
    <w:p>
      <w:pPr>
        <w:ind w:firstLine="560" w:firstLineChars="200"/>
        <w:rPr>
          <w:rFonts w:ascii="Times New Roman" w:hAnsi="Times New Roman" w:eastAsia="宋体" w:cs="Times New Roman"/>
          <w:szCs w:val="21"/>
        </w:rPr>
      </w:pPr>
      <w:r>
        <w:rPr>
          <w:rFonts w:ascii="宋体" w:hAnsi="宋体" w:eastAsia="宋体" w:cs="宋体"/>
          <w:sz w:val="28"/>
          <w:szCs w:val="28"/>
        </w:rPr>
        <w:t>综上</w:t>
      </w:r>
      <w:r>
        <w:rPr>
          <w:rFonts w:hint="eastAsia" w:ascii="宋体" w:hAnsi="宋体" w:eastAsia="宋体" w:cs="宋体"/>
          <w:sz w:val="28"/>
          <w:szCs w:val="28"/>
        </w:rPr>
        <w:t>，</w:t>
      </w:r>
      <w:r>
        <w:rPr>
          <w:rFonts w:ascii="宋体" w:hAnsi="宋体" w:eastAsia="宋体" w:cs="宋体"/>
          <w:sz w:val="28"/>
          <w:szCs w:val="28"/>
        </w:rPr>
        <w:t>本次调整</w:t>
      </w:r>
      <w:r>
        <w:rPr>
          <w:rFonts w:hint="eastAsia" w:ascii="宋体" w:hAnsi="宋体" w:eastAsia="宋体" w:cs="Times New Roman"/>
          <w:sz w:val="28"/>
          <w:szCs w:val="28"/>
        </w:rPr>
        <w:t>完善涉及凤凰镇12处地块，面积共8.38公顷，调整面积占全镇总用地的0.03%。其中，</w:t>
      </w:r>
      <w:r>
        <w:rPr>
          <w:rFonts w:ascii="宋体" w:hAnsi="宋体" w:eastAsia="宋体" w:cs="宋体"/>
          <w:sz w:val="28"/>
          <w:szCs w:val="28"/>
        </w:rPr>
        <w:t>镇区内调整地块</w:t>
      </w:r>
      <w:r>
        <w:rPr>
          <w:rFonts w:hint="eastAsia" w:ascii="宋体" w:hAnsi="宋体" w:eastAsia="宋体" w:cs="Times New Roman"/>
          <w:sz w:val="28"/>
          <w:szCs w:val="28"/>
        </w:rPr>
        <w:t>2</w:t>
      </w:r>
      <w:r>
        <w:rPr>
          <w:rFonts w:ascii="宋体" w:hAnsi="宋体" w:eastAsia="宋体" w:cs="宋体"/>
          <w:sz w:val="28"/>
          <w:szCs w:val="28"/>
        </w:rPr>
        <w:t>个，</w:t>
      </w:r>
      <w:r>
        <w:rPr>
          <w:rFonts w:hint="eastAsia" w:ascii="宋体" w:hAnsi="宋体" w:eastAsia="宋体" w:cs="Times New Roman"/>
          <w:sz w:val="28"/>
          <w:szCs w:val="28"/>
        </w:rPr>
        <w:t>面积为0.82公顷</w:t>
      </w:r>
      <w:r>
        <w:rPr>
          <w:rFonts w:ascii="宋体" w:hAnsi="宋体" w:eastAsia="宋体" w:cs="宋体"/>
          <w:sz w:val="28"/>
          <w:szCs w:val="28"/>
        </w:rPr>
        <w:t>，调整后</w:t>
      </w:r>
      <w:r>
        <w:rPr>
          <w:rFonts w:hint="eastAsia" w:ascii="宋体" w:hAnsi="宋体" w:eastAsia="宋体" w:cs="Times New Roman"/>
          <w:sz w:val="28"/>
          <w:szCs w:val="28"/>
        </w:rPr>
        <w:t>镇区</w:t>
      </w:r>
      <w:r>
        <w:rPr>
          <w:rFonts w:ascii="宋体" w:hAnsi="宋体" w:eastAsia="宋体" w:cs="宋体"/>
          <w:sz w:val="28"/>
          <w:szCs w:val="28"/>
        </w:rPr>
        <w:t>不增加建设用地数量</w:t>
      </w:r>
      <w:r>
        <w:rPr>
          <w:rFonts w:hint="eastAsia" w:ascii="宋体" w:hAnsi="宋体" w:eastAsia="宋体" w:cs="Times New Roman"/>
          <w:sz w:val="28"/>
          <w:szCs w:val="28"/>
        </w:rPr>
        <w:t>；镇区外围调整地块10个，面积共7.56公顷，调整后镇区外围增加建设用地面积共计5.04公顷。调整涉及面积范围较小。调整后镇区的规划建设用地面积总量没有发生改变，人口规模无需调整，不影响原《规划》实施。</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libri Light">
    <w:panose1 w:val="020F0302020204030204"/>
    <w:charset w:val="00"/>
    <w:family w:val="swiss"/>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5065B"/>
    <w:multiLevelType w:val="multilevel"/>
    <w:tmpl w:val="2315065B"/>
    <w:lvl w:ilvl="0" w:tentative="0">
      <w:start w:val="1"/>
      <w:numFmt w:val="japaneseCounting"/>
      <w:lvlText w:val="%1、"/>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22"/>
    <w:rsid w:val="00066436"/>
    <w:rsid w:val="000C0857"/>
    <w:rsid w:val="00163E10"/>
    <w:rsid w:val="0020336F"/>
    <w:rsid w:val="0051759C"/>
    <w:rsid w:val="005A0A75"/>
    <w:rsid w:val="005E1416"/>
    <w:rsid w:val="005E59DB"/>
    <w:rsid w:val="00700382"/>
    <w:rsid w:val="007C7E92"/>
    <w:rsid w:val="0081793B"/>
    <w:rsid w:val="008853AF"/>
    <w:rsid w:val="008A417B"/>
    <w:rsid w:val="00944316"/>
    <w:rsid w:val="00A76BAD"/>
    <w:rsid w:val="00AF421E"/>
    <w:rsid w:val="00B74453"/>
    <w:rsid w:val="00BB3D42"/>
    <w:rsid w:val="00C23722"/>
    <w:rsid w:val="00CE1DDA"/>
    <w:rsid w:val="00D76AEC"/>
    <w:rsid w:val="00DD7CFF"/>
    <w:rsid w:val="00EE7AE0"/>
    <w:rsid w:val="3420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caption"/>
    <w:basedOn w:val="1"/>
    <w:next w:val="1"/>
    <w:unhideWhenUsed/>
    <w:qFormat/>
    <w:uiPriority w:val="35"/>
    <w:rPr>
      <w:rFonts w:eastAsia="黑体" w:asciiTheme="majorHAnsi" w:hAnsiTheme="majorHAnsi" w:cstheme="majorBidi"/>
      <w:sz w:val="20"/>
      <w:szCs w:val="20"/>
    </w:rPr>
  </w:style>
  <w:style w:type="paragraph" w:styleId="3">
    <w:name w:val="Body Text Indent 2"/>
    <w:basedOn w:val="1"/>
    <w:link w:val="9"/>
    <w:unhideWhenUsed/>
    <w:uiPriority w:val="99"/>
    <w:pPr>
      <w:snapToGrid w:val="0"/>
      <w:spacing w:line="360" w:lineRule="auto"/>
      <w:ind w:firstLine="510"/>
    </w:pPr>
    <w:rPr>
      <w:rFonts w:ascii="宋体" w:hAnsi="宋体" w:eastAsia="宋体" w:cs="宋体"/>
      <w:sz w:val="24"/>
      <w:szCs w:val="24"/>
    </w:rPr>
  </w:style>
  <w:style w:type="paragraph" w:styleId="4">
    <w:name w:val="footer"/>
    <w:basedOn w:val="1"/>
    <w:semiHidden/>
    <w:unhideWhenUsed/>
    <w:uiPriority w:val="99"/>
    <w:pPr>
      <w:tabs>
        <w:tab w:val="center" w:pos="4153"/>
        <w:tab w:val="right" w:pos="8306"/>
      </w:tabs>
      <w:snapToGrid w:val="0"/>
      <w:jc w:val="left"/>
    </w:pPr>
    <w:rPr>
      <w:sz w:val="18"/>
    </w:rPr>
  </w:style>
  <w:style w:type="paragraph" w:styleId="5">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List Paragraph"/>
    <w:basedOn w:val="1"/>
    <w:qFormat/>
    <w:uiPriority w:val="34"/>
    <w:pPr>
      <w:ind w:firstLine="420" w:firstLineChars="200"/>
    </w:pPr>
  </w:style>
  <w:style w:type="character" w:customStyle="1" w:styleId="9">
    <w:name w:val="正文文本缩进 2 Char"/>
    <w:basedOn w:val="7"/>
    <w:link w:val="3"/>
    <w:uiPriority w:val="99"/>
    <w:rPr>
      <w:rFonts w:ascii="宋体" w:hAnsi="宋体" w:eastAsia="宋体" w:cs="宋体"/>
      <w:sz w:val="24"/>
      <w:szCs w:val="24"/>
    </w:rPr>
  </w:style>
  <w:style w:type="paragraph" w:customStyle="1" w:styleId="10">
    <w:name w:val="Normal"/>
    <w:uiPriority w:val="0"/>
    <w:pPr>
      <w:jc w:val="both"/>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850C73-AB4D-4701-A0C4-6F8DFECB8E07}">
  <ds:schemaRefs/>
</ds:datastoreItem>
</file>

<file path=docProps/app.xml><?xml version="1.0" encoding="utf-8"?>
<Properties xmlns="http://schemas.openxmlformats.org/officeDocument/2006/extended-properties" xmlns:vt="http://schemas.openxmlformats.org/officeDocument/2006/docPropsVTypes">
  <Template>Normal.dotm</Template>
  <Pages>5</Pages>
  <Words>435</Words>
  <Characters>2481</Characters>
  <Lines>20</Lines>
  <Paragraphs>5</Paragraphs>
  <TotalTime>34</TotalTime>
  <ScaleCrop>false</ScaleCrop>
  <LinksUpToDate>false</LinksUpToDate>
  <CharactersWithSpaces>2911</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2020-09-23T01:48:00Z</dcterms:created>
  <dc:creator>muifa</dc:creator>
  <cp:lastModifiedBy>Administrator</cp:lastModifiedBy>
  <dcterms:modified xsi:type="dcterms:W3CDTF">2020-09-23T06:52:14Z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