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312" w:line="240" w:lineRule="auto"/>
        <w:ind w:left="0" w:leftChars="0"/>
        <w:jc w:val="left"/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1：</w:t>
      </w:r>
    </w:p>
    <w:p>
      <w:pPr>
        <w:pStyle w:val="3"/>
        <w:bidi w:val="0"/>
        <w:rPr>
          <w:rFonts w:hint="eastAsia"/>
          <w:sz w:val="36"/>
          <w:szCs w:val="24"/>
          <w:lang w:val="en-US" w:eastAsia="zh-CN"/>
        </w:rPr>
      </w:pPr>
      <w:r>
        <w:rPr>
          <w:rFonts w:hint="eastAsia"/>
          <w:sz w:val="36"/>
          <w:szCs w:val="24"/>
          <w:lang w:val="en-US" w:eastAsia="zh-CN"/>
        </w:rPr>
        <w:t>潮安区2022年高素质农民培育培训班开班计划</w:t>
      </w:r>
      <w:bookmarkStart w:id="7" w:name="_GoBack"/>
      <w:bookmarkEnd w:id="7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为贯彻落实党中央、国务院和省委、省政府关于大力培育高素质农民的系列部署，加快构建高素质农民队伍，壮大新型农业生产经营主体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队伍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根据广东省农业农村厅关于印发《2022年广东省高素质农民培育实施方案》的通知（粤农农办【2022】72号）文件精神，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潮安区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农业产业发展现状和实际需要，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2022年潮安区</w:t>
      </w:r>
      <w:r>
        <w:rPr>
          <w:rFonts w:hint="eastAsia" w:ascii="仿宋_GB2312" w:hAnsi="仿宋_GB2312" w:eastAsia="仿宋_GB2312" w:cs="仿宋_GB2312"/>
          <w:sz w:val="32"/>
          <w:szCs w:val="32"/>
        </w:rPr>
        <w:t>高素质农民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培育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培训教学计划。</w:t>
      </w:r>
    </w:p>
    <w:p>
      <w:pPr>
        <w:pStyle w:val="3"/>
        <w:spacing w:afterLines="0" w:line="240" w:lineRule="auto"/>
        <w:ind w:left="10" w:leftChars="0" w:firstLine="629" w:firstLineChars="196"/>
        <w:jc w:val="left"/>
        <w:rPr>
          <w:rFonts w:ascii="仿宋_GB2312" w:hAnsi="仿宋_GB2312" w:eastAsia="仿宋_GB2312" w:cs="仿宋_GB2312"/>
          <w:bCs/>
          <w:kern w:val="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kern w:val="2"/>
          <w:szCs w:val="32"/>
          <w:lang w:val="en-US"/>
        </w:rPr>
        <w:t>一</w:t>
      </w:r>
      <w:r>
        <w:rPr>
          <w:rFonts w:hint="eastAsia" w:ascii="仿宋_GB2312" w:hAnsi="仿宋_GB2312" w:eastAsia="仿宋_GB2312" w:cs="仿宋_GB2312"/>
          <w:bCs/>
          <w:kern w:val="2"/>
          <w:szCs w:val="32"/>
        </w:rPr>
        <w:t>、培训目</w:t>
      </w:r>
      <w:r>
        <w:rPr>
          <w:rFonts w:hint="eastAsia" w:ascii="仿宋_GB2312" w:hAnsi="仿宋_GB2312" w:eastAsia="仿宋_GB2312" w:cs="仿宋_GB2312"/>
          <w:bCs/>
          <w:kern w:val="2"/>
          <w:szCs w:val="32"/>
          <w:lang w:val="en-US"/>
        </w:rPr>
        <w:t>的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按照“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科教兴农、人才强农、高素质农民固农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战略要求，坚持壮大高素质农民队伍为目标、注重培训实效为原则，重点提升农业生产经营者整体水平。通过现代农业理论、农产品质量安全、经营管理知识等方面内容的培训，提升农业生产经营者综合素养，提高生产经营和创新创业综合能力，成为引领现代农业发展的经营者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以绿色生产方式推进农业高质量发展，坚持面向产业、融入产业、服务产业，开阔农业从业者发展视野，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激发农村青年创造活力，提升人才综合素养，提高创业兴业能力，造就一支综合素质高、生产经营能力强、主体作用发挥明显的高素质农民队伍，为现代农业发展提供人才保障与智力支撑。</w:t>
      </w:r>
    </w:p>
    <w:p>
      <w:pPr>
        <w:pStyle w:val="3"/>
        <w:spacing w:afterLines="0" w:line="240" w:lineRule="auto"/>
        <w:ind w:left="10" w:leftChars="0" w:firstLine="629" w:firstLineChars="196"/>
        <w:jc w:val="left"/>
        <w:rPr>
          <w:rFonts w:ascii="仿宋_GB2312" w:hAnsi="仿宋_GB2312" w:eastAsia="仿宋_GB2312" w:cs="仿宋_GB2312"/>
          <w:bCs/>
          <w:kern w:val="2"/>
          <w:szCs w:val="32"/>
          <w:lang w:val="en-US"/>
        </w:rPr>
      </w:pPr>
      <w:bookmarkStart w:id="0" w:name="_Toc11096"/>
      <w:bookmarkStart w:id="1" w:name="_Toc1756"/>
      <w:bookmarkStart w:id="2" w:name="_Toc18143"/>
      <w:bookmarkStart w:id="3" w:name="_Toc17493"/>
      <w:bookmarkStart w:id="4" w:name="_Toc8026"/>
      <w:bookmarkStart w:id="5" w:name="_Toc21733"/>
      <w:bookmarkStart w:id="6" w:name="_Toc12108"/>
      <w:r>
        <w:rPr>
          <w:rFonts w:hint="eastAsia" w:ascii="仿宋_GB2312" w:hAnsi="仿宋_GB2312" w:eastAsia="仿宋_GB2312" w:cs="仿宋_GB2312"/>
          <w:bCs/>
          <w:kern w:val="2"/>
          <w:szCs w:val="32"/>
          <w:lang w:val="en-US"/>
        </w:rPr>
        <w:t>二、培训对象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年计划以茶叶产业为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培育新型农业经营主体带头人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年满16周岁，包括正在或有意愿从事农业生产、经营管理的从业人员、返乡入乡创新创业者、退役军人、乡村治理及农村社会事业服务等人员。重点面向家庭农场主、农民合作社带头人、种养大户、农机手和务农妇女等。</w:t>
      </w:r>
    </w:p>
    <w:p>
      <w:pPr>
        <w:pStyle w:val="3"/>
        <w:spacing w:afterLines="0" w:line="240" w:lineRule="auto"/>
        <w:ind w:left="0" w:leftChars="0" w:firstLine="642" w:firstLineChars="200"/>
        <w:jc w:val="left"/>
        <w:rPr>
          <w:rFonts w:ascii="仿宋_GB2312" w:hAnsi="仿宋_GB2312" w:eastAsia="仿宋_GB2312" w:cs="仿宋_GB2312"/>
          <w:bCs/>
          <w:kern w:val="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kern w:val="2"/>
          <w:szCs w:val="32"/>
          <w:lang w:val="en-US"/>
        </w:rPr>
        <w:t>三、培训安排</w:t>
      </w:r>
    </w:p>
    <w:p>
      <w:pPr>
        <w:pStyle w:val="3"/>
        <w:spacing w:afterLines="0" w:line="240" w:lineRule="auto"/>
        <w:ind w:left="0" w:leftChars="0" w:firstLine="640" w:firstLineChars="200"/>
        <w:jc w:val="left"/>
        <w:rPr>
          <w:rFonts w:ascii="仿宋_GB2312" w:hAnsi="仿宋_GB2312" w:eastAsia="仿宋_GB2312" w:cs="仿宋_GB2312"/>
          <w:b w:val="0"/>
          <w:kern w:val="2"/>
          <w:szCs w:val="32"/>
          <w:lang w:val="en-US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Cs w:val="32"/>
          <w:lang w:val="en-US" w:bidi="ar-SA"/>
        </w:rPr>
        <w:t>主要包括三个阶段课程教学：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1、综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合素养教学。主要课程为：《广东乡村振兴促进条例解读》、《深入贯彻党的二十大精神》、《十大科普进课堂》等。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专业能力教学。主要课程为：《化肥农药减施增效技术》、《农产品质量安全与提质增效》、《茶叶病虫害防治关键技术》、《短视频运营及拍摄技巧》、《现代农业生产经营管理》、《茶旅文化运营及品牌打造》、《茶树生态栽培技术与种质资源》、《产业带动乡村经济发展》、《现代农业品种展示及科技示范》、《大棚种植及文旅产业运营》等，并组织学员到 2 个以上国家（省、市）现代农业产业园、生态农业产业园、现代农业科技示范展示基地或省级认定的高素质农民培育示范基地（以上统称实训学习基地）进行实训、参观、交流和学习。</w:t>
      </w:r>
    </w:p>
    <w:p>
      <w:pPr>
        <w:ind w:firstLine="640" w:firstLineChars="200"/>
        <w:jc w:val="left"/>
        <w:rPr>
          <w:rFonts w:hint="eastAsia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3、能力拓展教学。主要课程为：《农村电商创业及网红打造平台》、《农产品产业链生产加工及市场营销》《云上智农与农业信息化教学》等，并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到省（市）电商产业园、省农村实用人才（数字化类）培训基地、农村电商基层示范站或县（区）电商基地（以上统称为电商学习基地）参观学习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3"/>
        <w:spacing w:afterLines="0" w:line="240" w:lineRule="auto"/>
        <w:ind w:left="0" w:leftChars="0" w:firstLine="642" w:firstLineChars="200"/>
        <w:jc w:val="left"/>
        <w:rPr>
          <w:rFonts w:ascii="仿宋_GB2312" w:hAnsi="仿宋_GB2312" w:eastAsia="仿宋_GB2312" w:cs="仿宋_GB2312"/>
          <w:bCs/>
          <w:kern w:val="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kern w:val="2"/>
          <w:szCs w:val="32"/>
          <w:lang w:val="en-US"/>
        </w:rPr>
        <w:t>四、培训时间及地点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1、培训时间：计划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19日-24日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开展为期六天（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sz w:val="32"/>
          <w:szCs w:val="32"/>
        </w:rPr>
        <w:t>48学时）的培训。</w:t>
      </w:r>
    </w:p>
    <w:p>
      <w:pPr>
        <w:pStyle w:val="4"/>
        <w:spacing w:afterLines="0"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2、培训路线（地点）：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>潮州市-清远市-广州市-惠州市。</w:t>
      </w:r>
    </w:p>
    <w:p>
      <w:pPr>
        <w:pStyle w:val="2"/>
        <w:spacing w:after="156" w:line="240" w:lineRule="auto"/>
        <w:jc w:val="both"/>
        <w:rPr>
          <w:rFonts w:ascii="仿宋_GB2312" w:hAnsi="仿宋_GB2312" w:eastAsia="仿宋_GB2312" w:cs="仿宋_GB2312"/>
          <w:sz w:val="32"/>
        </w:rPr>
      </w:pP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spacing w:after="156" w:line="240" w:lineRule="auto"/>
        <w:rPr>
          <w:rFonts w:ascii="仿宋_GB2312" w:hAnsi="仿宋_GB2312" w:eastAsia="仿宋_GB2312" w:cs="仿宋_GB2312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仲恺农业工程学院</w:t>
      </w:r>
    </w:p>
    <w:p>
      <w:pPr>
        <w:pStyle w:val="2"/>
        <w:spacing w:after="156" w:line="240" w:lineRule="auto"/>
        <w:rPr>
          <w:rFonts w:ascii="仿宋_GB2312" w:hAnsi="仿宋_GB2312" w:eastAsia="仿宋_GB2312" w:cs="仿宋_GB2312"/>
          <w:b w:val="0"/>
          <w:bCs w:val="0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 xml:space="preserve"> 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日</w:t>
      </w:r>
    </w:p>
    <w:sectPr>
      <w:footerReference r:id="rId3" w:type="default"/>
      <w:pgSz w:w="11906" w:h="16838"/>
      <w:pgMar w:top="1984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1" name="文本框 4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LNJWO7QAAAABQEAAA8AAAAAAAAAAQAgAAAAOAAA&#10;AGRycy9kb3ducmV2LnhtbFBLAQIUABQAAAAIAIdO4kClSG0VMwIAAGcEAAAOAAAAAAAAAAEAIAAA&#10;ADUBAABkcnMvZTJvRG9jLnhtbFBLBQYAAAAABgAGAFkBAADa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45545EC0"/>
    <w:rsid w:val="00251D8A"/>
    <w:rsid w:val="004718AA"/>
    <w:rsid w:val="0083013B"/>
    <w:rsid w:val="00A8435F"/>
    <w:rsid w:val="00FF1169"/>
    <w:rsid w:val="03345AEF"/>
    <w:rsid w:val="05913225"/>
    <w:rsid w:val="0B550A2B"/>
    <w:rsid w:val="0E5754CE"/>
    <w:rsid w:val="12E169B3"/>
    <w:rsid w:val="14437E65"/>
    <w:rsid w:val="162A36F0"/>
    <w:rsid w:val="16DC0709"/>
    <w:rsid w:val="17C80C68"/>
    <w:rsid w:val="18B6627F"/>
    <w:rsid w:val="1EA27616"/>
    <w:rsid w:val="227320C0"/>
    <w:rsid w:val="29A75F0B"/>
    <w:rsid w:val="2A254A6C"/>
    <w:rsid w:val="2BCD0CC4"/>
    <w:rsid w:val="2E8E02BD"/>
    <w:rsid w:val="358C1E28"/>
    <w:rsid w:val="35CA6074"/>
    <w:rsid w:val="37FF6960"/>
    <w:rsid w:val="38947813"/>
    <w:rsid w:val="3A7D0381"/>
    <w:rsid w:val="3F477EE8"/>
    <w:rsid w:val="434C2D5E"/>
    <w:rsid w:val="45545EC0"/>
    <w:rsid w:val="4B7C474D"/>
    <w:rsid w:val="4C0F4D70"/>
    <w:rsid w:val="4E784D71"/>
    <w:rsid w:val="4EC3555B"/>
    <w:rsid w:val="52C05FCB"/>
    <w:rsid w:val="54816185"/>
    <w:rsid w:val="589040B3"/>
    <w:rsid w:val="5F0A608B"/>
    <w:rsid w:val="61AC47BC"/>
    <w:rsid w:val="61B518D6"/>
    <w:rsid w:val="63E6658C"/>
    <w:rsid w:val="64B804B9"/>
    <w:rsid w:val="65936FE9"/>
    <w:rsid w:val="65AA4578"/>
    <w:rsid w:val="66352B86"/>
    <w:rsid w:val="67927030"/>
    <w:rsid w:val="6A0F7775"/>
    <w:rsid w:val="6EF13FD2"/>
    <w:rsid w:val="702653D1"/>
    <w:rsid w:val="72DA64CC"/>
    <w:rsid w:val="7362725B"/>
    <w:rsid w:val="754C00BF"/>
    <w:rsid w:val="78A22719"/>
    <w:rsid w:val="7B266206"/>
    <w:rsid w:val="7E062465"/>
    <w:rsid w:val="7F781EBF"/>
    <w:rsid w:val="7FF92298"/>
    <w:rsid w:val="E7FFA48B"/>
    <w:rsid w:val="ED8EA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/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Lines/>
      <w:spacing w:afterLines="100" w:line="360" w:lineRule="auto"/>
      <w:ind w:left="100" w:leftChars="100"/>
      <w:jc w:val="center"/>
      <w:outlineLvl w:val="0"/>
    </w:pPr>
    <w:rPr>
      <w:rFonts w:ascii="宋体" w:hAnsi="宋体" w:cs="宋体"/>
      <w:b/>
      <w:kern w:val="44"/>
      <w:sz w:val="32"/>
      <w:szCs w:val="22"/>
      <w:lang w:val="zh-CN" w:bidi="zh-CN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Lines/>
      <w:spacing w:afterLines="50" w:line="360" w:lineRule="auto"/>
      <w:jc w:val="center"/>
      <w:outlineLvl w:val="1"/>
    </w:pPr>
    <w:rPr>
      <w:rFonts w:ascii="Arial" w:hAnsi="Arial"/>
      <w:b/>
      <w:bCs/>
      <w:sz w:val="28"/>
      <w:szCs w:val="32"/>
    </w:rPr>
  </w:style>
  <w:style w:type="paragraph" w:styleId="4">
    <w:name w:val="heading 3"/>
    <w:basedOn w:val="1"/>
    <w:next w:val="1"/>
    <w:link w:val="11"/>
    <w:unhideWhenUsed/>
    <w:qFormat/>
    <w:uiPriority w:val="0"/>
    <w:pPr>
      <w:keepLines/>
      <w:spacing w:afterLines="50" w:line="360" w:lineRule="auto"/>
      <w:outlineLvl w:val="2"/>
    </w:pPr>
    <w:rPr>
      <w:b/>
      <w:bCs/>
      <w:sz w:val="28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libri Light" w:hAnsi="Calibri Light"/>
      <w:b/>
      <w:bCs/>
      <w:sz w:val="44"/>
      <w:szCs w:val="32"/>
    </w:rPr>
  </w:style>
  <w:style w:type="character" w:customStyle="1" w:styleId="11">
    <w:name w:val="标题 3 Char"/>
    <w:link w:val="4"/>
    <w:qFormat/>
    <w:uiPriority w:val="0"/>
    <w:rPr>
      <w:rFonts w:ascii="Times New Roman" w:hAnsi="Times New Roman" w:eastAsia="宋体" w:cs="Times New Roman"/>
      <w:b/>
      <w:bCs/>
      <w:kern w:val="2"/>
      <w:sz w:val="28"/>
      <w:szCs w:val="32"/>
    </w:rPr>
  </w:style>
  <w:style w:type="character" w:customStyle="1" w:styleId="12">
    <w:name w:val="标题 2 Char"/>
    <w:link w:val="2"/>
    <w:qFormat/>
    <w:uiPriority w:val="0"/>
    <w:rPr>
      <w:rFonts w:ascii="Arial" w:hAnsi="Arial" w:eastAsia="宋体" w:cs="Times New Roman"/>
      <w:b/>
      <w:bCs/>
      <w:kern w:val="2"/>
      <w:sz w:val="28"/>
      <w:szCs w:val="32"/>
      <w:lang w:val="en-US" w:bidi="ar-SA"/>
    </w:rPr>
  </w:style>
  <w:style w:type="paragraph" w:customStyle="1" w:styleId="13">
    <w:name w:val="4级"/>
    <w:basedOn w:val="14"/>
    <w:qFormat/>
    <w:uiPriority w:val="0"/>
    <w:rPr>
      <w:rFonts w:eastAsia="仿宋"/>
      <w:b w:val="0"/>
      <w:sz w:val="28"/>
    </w:rPr>
  </w:style>
  <w:style w:type="paragraph" w:customStyle="1" w:styleId="14">
    <w:name w:val="一级标题"/>
    <w:basedOn w:val="8"/>
    <w:qFormat/>
    <w:uiPriority w:val="0"/>
    <w:rPr>
      <w:sz w:val="32"/>
    </w:rPr>
  </w:style>
  <w:style w:type="character" w:customStyle="1" w:styleId="15">
    <w:name w:val="页眉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887</Characters>
  <Lines>7</Lines>
  <Paragraphs>2</Paragraphs>
  <TotalTime>13</TotalTime>
  <ScaleCrop>false</ScaleCrop>
  <LinksUpToDate>false</LinksUpToDate>
  <CharactersWithSpaces>1040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2020-08-05T19:18:00Z</dcterms:created>
  <dc:creator> 小迷糊</dc:creator>
  <cp:lastModifiedBy>nyj</cp:lastModifiedBy>
  <cp:lastPrinted>2020-09-04T23:05:00Z</cp:lastPrinted>
  <dcterms:modified xsi:type="dcterms:W3CDTF">2023-02-15T11:27:54Z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24028A1B312B48DFB7440BBF61C1AAC7</vt:lpwstr>
  </property>
</Properties>
</file>