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snapToGrid w:val="0"/>
        <w:spacing w:before="156" w:beforeLines="50" w:after="156" w:afterLines="50" w:line="240" w:lineRule="auto"/>
        <w:ind w:left="0" w:leftChars="0" w:right="0"/>
        <w:jc w:val="center"/>
        <w:textAlignment w:val="auto"/>
        <w:outlineLvl w:val="9"/>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rPr>
        <w:t>2020年潮州市潮安区食品用陶瓷制品产品</w:t>
      </w:r>
    </w:p>
    <w:p>
      <w:pPr>
        <w:widowControl w:val="0"/>
        <w:wordWrap/>
        <w:snapToGrid w:val="0"/>
        <w:spacing w:before="156" w:beforeLines="50" w:after="156" w:afterLines="50" w:line="240" w:lineRule="auto"/>
        <w:ind w:left="0" w:leftChars="0" w:right="0"/>
        <w:jc w:val="center"/>
        <w:textAlignment w:val="auto"/>
        <w:outlineLvl w:val="9"/>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rPr>
        <w:t>质量监督抽查实施细则</w:t>
      </w:r>
    </w:p>
    <w:p>
      <w:pPr>
        <w:widowControl w:val="0"/>
        <w:wordWrap/>
        <w:snapToGrid w:val="0"/>
        <w:spacing w:line="240" w:lineRule="auto"/>
        <w:ind w:left="0" w:leftChars="0" w:right="0"/>
        <w:textAlignment w:val="auto"/>
        <w:outlineLvl w:val="9"/>
        <w:rPr>
          <w:rFonts w:hint="eastAsia" w:ascii="仿宋_GB2312" w:hAnsi="仿宋_GB2312" w:eastAsia="仿宋_GB2312" w:cs="仿宋_GB2312"/>
          <w:b/>
          <w:color w:val="000000"/>
          <w:sz w:val="32"/>
          <w:szCs w:val="32"/>
        </w:rPr>
      </w:pPr>
    </w:p>
    <w:p>
      <w:pPr>
        <w:widowControl w:val="0"/>
        <w:wordWrap/>
        <w:snapToGrid w:val="0"/>
        <w:spacing w:line="240" w:lineRule="auto"/>
        <w:ind w:left="0" w:leftChars="0" w:right="0"/>
        <w:textAlignment w:val="auto"/>
        <w:outlineLvl w:val="9"/>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  范围</w:t>
      </w:r>
    </w:p>
    <w:p>
      <w:pPr>
        <w:widowControl w:val="0"/>
        <w:wordWrap/>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本细则适用于潮州市潮安区行政辖区内企业生产的食品用陶瓷制品产品质量监督抽查。本细则内容包括产品分类、企业规模划分、检验依据、抽样、检验要求、判定原则、异议处理。</w:t>
      </w:r>
    </w:p>
    <w:p>
      <w:pPr>
        <w:widowControl w:val="0"/>
        <w:wordWrap/>
        <w:snapToGrid w:val="0"/>
        <w:spacing w:line="240" w:lineRule="auto"/>
        <w:ind w:left="0" w:leftChars="0" w:right="0"/>
        <w:textAlignment w:val="auto"/>
        <w:outlineLvl w:val="9"/>
        <w:rPr>
          <w:rFonts w:hint="eastAsia" w:ascii="仿宋_GB2312" w:hAnsi="仿宋_GB2312" w:eastAsia="仿宋_GB2312" w:cs="仿宋_GB2312"/>
          <w:b/>
          <w:color w:val="000000"/>
          <w:sz w:val="32"/>
          <w:szCs w:val="32"/>
        </w:rPr>
      </w:pPr>
    </w:p>
    <w:p>
      <w:pPr>
        <w:widowControl w:val="0"/>
        <w:wordWrap/>
        <w:snapToGrid w:val="0"/>
        <w:spacing w:line="240" w:lineRule="auto"/>
        <w:ind w:left="0" w:leftChars="0" w:right="0"/>
        <w:textAlignment w:val="auto"/>
        <w:outlineLvl w:val="9"/>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 产品分类</w:t>
      </w:r>
    </w:p>
    <w:p>
      <w:pPr>
        <w:widowControl w:val="0"/>
        <w:wordWrap/>
        <w:spacing w:line="240" w:lineRule="auto"/>
        <w:ind w:left="0" w:leftChars="0" w:right="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2.1产品分类及代码见表1</w:t>
      </w:r>
    </w:p>
    <w:p>
      <w:pPr>
        <w:widowControl w:val="0"/>
        <w:wordWrap/>
        <w:adjustRightInd w:val="0"/>
        <w:snapToGrid w:val="0"/>
        <w:spacing w:line="240" w:lineRule="auto"/>
        <w:ind w:left="0" w:leftChars="0" w:right="0" w:firstLine="420" w:firstLineChars="20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表1  产品分类及代码</w:t>
      </w:r>
    </w:p>
    <w:tbl>
      <w:tblPr>
        <w:tblStyle w:val="6"/>
        <w:tblW w:w="91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1789"/>
        <w:gridCol w:w="2410"/>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4"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产品分类</w:t>
            </w:r>
          </w:p>
        </w:tc>
        <w:tc>
          <w:tcPr>
            <w:tcW w:w="1789"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一级分类</w:t>
            </w:r>
          </w:p>
        </w:tc>
        <w:tc>
          <w:tcPr>
            <w:tcW w:w="2410"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二级分类</w:t>
            </w:r>
          </w:p>
        </w:tc>
        <w:tc>
          <w:tcPr>
            <w:tcW w:w="2552"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4"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分类代码</w:t>
            </w:r>
          </w:p>
        </w:tc>
        <w:tc>
          <w:tcPr>
            <w:tcW w:w="1789"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410"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306</w:t>
            </w:r>
          </w:p>
        </w:tc>
        <w:tc>
          <w:tcPr>
            <w:tcW w:w="2552"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4"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分类名称</w:t>
            </w:r>
          </w:p>
        </w:tc>
        <w:tc>
          <w:tcPr>
            <w:tcW w:w="1789"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轻工产品</w:t>
            </w:r>
          </w:p>
        </w:tc>
        <w:tc>
          <w:tcPr>
            <w:tcW w:w="2410"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其它日用消费品</w:t>
            </w:r>
          </w:p>
        </w:tc>
        <w:tc>
          <w:tcPr>
            <w:tcW w:w="2552"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日用陶瓷</w:t>
            </w:r>
          </w:p>
        </w:tc>
      </w:tr>
    </w:tbl>
    <w:p>
      <w:pPr>
        <w:widowControl w:val="0"/>
        <w:wordWrap/>
        <w:spacing w:line="240" w:lineRule="auto"/>
        <w:ind w:left="0" w:leftChars="0" w:right="0"/>
        <w:textAlignment w:val="auto"/>
        <w:outlineLvl w:val="9"/>
        <w:rPr>
          <w:rFonts w:hint="eastAsia" w:ascii="仿宋_GB2312" w:hAnsi="仿宋_GB2312" w:eastAsia="仿宋_GB2312" w:cs="仿宋_GB2312"/>
          <w:sz w:val="32"/>
          <w:szCs w:val="32"/>
        </w:rPr>
      </w:pPr>
    </w:p>
    <w:p>
      <w:pPr>
        <w:widowControl w:val="0"/>
        <w:wordWrap/>
        <w:spacing w:line="240" w:lineRule="auto"/>
        <w:ind w:left="0" w:leftChars="0" w:right="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 产品种类</w:t>
      </w:r>
    </w:p>
    <w:p>
      <w:pPr>
        <w:widowControl w:val="0"/>
        <w:wordWrap/>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日用陶瓷是以粘土类及其它天然矿物为主要原料经加工烧制成的上釉或不上釉，供日常生活使用的各类陶瓷产品，分为与食物接触的陶瓷制品、陶瓷烹调器。</w:t>
      </w:r>
    </w:p>
    <w:p>
      <w:pPr>
        <w:widowControl w:val="0"/>
        <w:wordWrap/>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2.2.1</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与食物接触的陶瓷制品指与食物接触的瓷器、炻器、陶器，有釉和无釉陶瓷制品，但不包括食品制造工业、包装和烹调用陶瓷器。</w:t>
      </w:r>
    </w:p>
    <w:p>
      <w:pPr>
        <w:widowControl w:val="0"/>
        <w:wordWrap/>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2.2.2陶瓷烹调器指与食物接触的砂锅、汽锅、火锅、炒锅、热煲等各类陶瓷质烹调制品。</w:t>
      </w:r>
    </w:p>
    <w:p>
      <w:pPr>
        <w:widowControl w:val="0"/>
        <w:wordWrap/>
        <w:snapToGrid w:val="0"/>
        <w:spacing w:line="240" w:lineRule="auto"/>
        <w:ind w:left="0" w:leftChars="0" w:right="0"/>
        <w:textAlignment w:val="auto"/>
        <w:outlineLvl w:val="9"/>
        <w:rPr>
          <w:rFonts w:hint="eastAsia" w:ascii="仿宋_GB2312" w:hAnsi="仿宋_GB2312" w:eastAsia="仿宋_GB2312" w:cs="仿宋_GB2312"/>
          <w:b/>
          <w:sz w:val="32"/>
          <w:szCs w:val="32"/>
        </w:rPr>
      </w:pPr>
    </w:p>
    <w:p>
      <w:pPr>
        <w:widowControl w:val="0"/>
        <w:wordWrap/>
        <w:snapToGrid w:val="0"/>
        <w:spacing w:line="240" w:lineRule="auto"/>
        <w:ind w:left="0" w:leftChars="0" w:right="0"/>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  企业生产规模划分</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按照国家统计局《统计上大中小微型企业划分办法》划分。见表2</w:t>
      </w:r>
    </w:p>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表2企业生产规模划分方法</w:t>
      </w:r>
    </w:p>
    <w:tbl>
      <w:tblPr>
        <w:tblStyle w:val="6"/>
        <w:tblW w:w="879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
      <w:tblGrid>
        <w:gridCol w:w="1143"/>
        <w:gridCol w:w="1351"/>
        <w:gridCol w:w="700"/>
        <w:gridCol w:w="1110"/>
        <w:gridCol w:w="1802"/>
        <w:gridCol w:w="1619"/>
        <w:gridCol w:w="10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Ex>
        <w:trPr>
          <w:jc w:val="center"/>
        </w:trPr>
        <w:tc>
          <w:tcPr>
            <w:tcW w:w="114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行业名称</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指标名称</w:t>
            </w:r>
          </w:p>
        </w:tc>
        <w:tc>
          <w:tcPr>
            <w:tcW w:w="70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计量</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大型</w:t>
            </w:r>
          </w:p>
        </w:tc>
        <w:tc>
          <w:tcPr>
            <w:tcW w:w="180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中型</w:t>
            </w:r>
          </w:p>
        </w:tc>
        <w:tc>
          <w:tcPr>
            <w:tcW w:w="1619"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小型</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微型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Ex>
        <w:trPr>
          <w:jc w:val="center"/>
        </w:trPr>
        <w:tc>
          <w:tcPr>
            <w:tcW w:w="1143" w:type="dxa"/>
            <w:vMerge w:val="restart"/>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工业</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从业人员(X)</w:t>
            </w:r>
          </w:p>
        </w:tc>
        <w:tc>
          <w:tcPr>
            <w:tcW w:w="70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X≥1000</w:t>
            </w:r>
          </w:p>
        </w:tc>
        <w:tc>
          <w:tcPr>
            <w:tcW w:w="180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300≤X＜1000</w:t>
            </w:r>
          </w:p>
        </w:tc>
        <w:tc>
          <w:tcPr>
            <w:tcW w:w="1619"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20≤X＜300</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X＜20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Ex>
        <w:trPr>
          <w:jc w:val="center"/>
        </w:trPr>
        <w:tc>
          <w:tcPr>
            <w:tcW w:w="1143" w:type="dxa"/>
            <w:vMerge w:val="continue"/>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营业收入(Y)</w:t>
            </w:r>
          </w:p>
        </w:tc>
        <w:tc>
          <w:tcPr>
            <w:tcW w:w="70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Y≥40000</w:t>
            </w:r>
          </w:p>
        </w:tc>
        <w:tc>
          <w:tcPr>
            <w:tcW w:w="180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2000≤Y＜40000</w:t>
            </w:r>
          </w:p>
        </w:tc>
        <w:tc>
          <w:tcPr>
            <w:tcW w:w="1619"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300≤Y＜2000</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Y＜300</w:t>
            </w:r>
          </w:p>
        </w:tc>
      </w:tr>
    </w:tbl>
    <w:p>
      <w:pPr>
        <w:widowControl w:val="0"/>
        <w:wordWrap/>
        <w:snapToGrid w:val="0"/>
        <w:spacing w:before="93" w:beforeLines="30" w:after="187" w:afterLines="60" w:line="240" w:lineRule="auto"/>
        <w:ind w:left="0" w:leftChars="0" w:right="0" w:firstLine="42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注：大型、中型和小型企业须同时满足所列指标的下限，否则下划一档。</w:t>
      </w:r>
    </w:p>
    <w:p>
      <w:pPr>
        <w:widowControl w:val="0"/>
        <w:wordWrap/>
        <w:snapToGrid w:val="0"/>
        <w:spacing w:line="240" w:lineRule="auto"/>
        <w:ind w:left="0" w:leftChars="0" w:right="0"/>
        <w:textAlignment w:val="auto"/>
        <w:outlineLvl w:val="9"/>
        <w:rPr>
          <w:rFonts w:hint="eastAsia" w:ascii="仿宋_GB2312" w:hAnsi="仿宋_GB2312" w:eastAsia="仿宋_GB2312" w:cs="仿宋_GB2312"/>
          <w:b/>
          <w:sz w:val="32"/>
          <w:szCs w:val="32"/>
        </w:rPr>
      </w:pPr>
    </w:p>
    <w:p>
      <w:pPr>
        <w:widowControl w:val="0"/>
        <w:wordWrap/>
        <w:snapToGrid w:val="0"/>
        <w:spacing w:line="240" w:lineRule="auto"/>
        <w:ind w:left="0" w:leftChars="0" w:right="0"/>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4  检验依据</w:t>
      </w:r>
    </w:p>
    <w:p>
      <w:pPr>
        <w:widowControl w:val="0"/>
        <w:wordWrap/>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凡</w:t>
      </w:r>
      <w:r>
        <w:rPr>
          <w:rFonts w:hint="eastAsia" w:ascii="仿宋_GB2312" w:hAnsi="仿宋_GB2312" w:eastAsia="仿宋_GB2312" w:cs="仿宋_GB2312"/>
          <w:color w:val="000000"/>
          <w:sz w:val="32"/>
          <w:szCs w:val="32"/>
        </w:rPr>
        <w:t>是注日期的文件，其随后所有的修改单（不包括勘误的内容）或修订版不适用于本细则。凡是不注日期的文件，其最新版本适用于本细则。</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 4806.4</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 xml:space="preserve"> 《食品安全国家标准 陶瓷制品》</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3532</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 xml:space="preserve"> 《日用瓷器》</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10816</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 xml:space="preserve"> 《紫砂陶器》</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13522</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 xml:space="preserve"> 《骨质瓷器》</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28114</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 xml:space="preserve"> 《镁质强化瓷器》</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30771</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 xml:space="preserve"> 《日用玻璃陶瓷》</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QB/T 2579  </w:t>
      </w:r>
      <w:r>
        <w:rPr>
          <w:rFonts w:hint="eastAsia" w:ascii="仿宋_GB2312" w:hAnsi="仿宋_GB2312" w:eastAsia="仿宋_GB2312" w:cs="仿宋_GB2312"/>
          <w:color w:val="000000"/>
          <w:sz w:val="32"/>
          <w:szCs w:val="32"/>
        </w:rPr>
        <w:t>《普通陶瓷烹调器》</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QB/T 2580  </w:t>
      </w:r>
      <w:r>
        <w:rPr>
          <w:rFonts w:hint="eastAsia" w:ascii="仿宋_GB2312" w:hAnsi="仿宋_GB2312" w:eastAsia="仿宋_GB2312" w:cs="仿宋_GB2312"/>
          <w:color w:val="000000"/>
          <w:sz w:val="32"/>
          <w:szCs w:val="32"/>
        </w:rPr>
        <w:t>《精细陶瓷烹调器》</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QB/T 4254  </w:t>
      </w:r>
      <w:r>
        <w:rPr>
          <w:rFonts w:hint="eastAsia" w:ascii="仿宋_GB2312" w:hAnsi="仿宋_GB2312" w:eastAsia="仿宋_GB2312" w:cs="仿宋_GB2312"/>
          <w:color w:val="000000"/>
          <w:sz w:val="32"/>
          <w:szCs w:val="32"/>
        </w:rPr>
        <w:t>《陶瓷酒瓶》</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3298  </w:t>
      </w:r>
      <w:r>
        <w:rPr>
          <w:rFonts w:hint="eastAsia" w:ascii="仿宋_GB2312" w:hAnsi="仿宋_GB2312" w:eastAsia="仿宋_GB2312" w:cs="仿宋_GB2312"/>
          <w:color w:val="000000"/>
          <w:sz w:val="32"/>
          <w:szCs w:val="32"/>
        </w:rPr>
        <w:t>《日用陶瓷器抗热震性测定方法》</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3299  </w:t>
      </w:r>
      <w:r>
        <w:rPr>
          <w:rFonts w:hint="eastAsia" w:ascii="仿宋_GB2312" w:hAnsi="仿宋_GB2312" w:eastAsia="仿宋_GB2312" w:cs="仿宋_GB2312"/>
          <w:color w:val="000000"/>
          <w:sz w:val="32"/>
          <w:szCs w:val="32"/>
        </w:rPr>
        <w:t>《日用陶瓷器吸水率测定方法》</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27587</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 xml:space="preserve"> 《日用陶瓷耐微波加热测试方法》</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 31604.24</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 xml:space="preserve"> 《食品安全国家标准 食品接触材料及制品 镉迁移量的测定》</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 31604.34</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 xml:space="preserve"> 《食品安全国家标准 食品接触材料及制品 铅的测定和迁移量测定》</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T/GDAQI 020-2020 《产品质量监督抽查抽样检验技术服务规范》</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相关的法律法规、部门规章和规范</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现行有效的企业标准及产品明示质量要求。</w:t>
      </w:r>
    </w:p>
    <w:p>
      <w:pPr>
        <w:widowControl w:val="0"/>
        <w:wordWrap/>
        <w:snapToGrid w:val="0"/>
        <w:spacing w:line="240" w:lineRule="auto"/>
        <w:ind w:left="0" w:leftChars="0" w:right="0"/>
        <w:textAlignment w:val="auto"/>
        <w:outlineLvl w:val="9"/>
        <w:rPr>
          <w:rFonts w:hint="eastAsia" w:ascii="仿宋_GB2312" w:hAnsi="仿宋_GB2312" w:eastAsia="仿宋_GB2312" w:cs="仿宋_GB2312"/>
          <w:b/>
          <w:sz w:val="32"/>
          <w:szCs w:val="32"/>
        </w:rPr>
      </w:pPr>
    </w:p>
    <w:p>
      <w:pPr>
        <w:widowControl w:val="0"/>
        <w:wordWrap/>
        <w:snapToGrid w:val="0"/>
        <w:spacing w:line="240" w:lineRule="auto"/>
        <w:ind w:left="0" w:leftChars="0" w:right="0"/>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5  抽样</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 xml:space="preserve">.1  </w:t>
      </w:r>
      <w:r>
        <w:rPr>
          <w:rFonts w:hint="eastAsia" w:ascii="仿宋_GB2312" w:hAnsi="仿宋_GB2312" w:eastAsia="仿宋_GB2312" w:cs="仿宋_GB2312"/>
          <w:color w:val="000000"/>
          <w:sz w:val="32"/>
          <w:szCs w:val="32"/>
        </w:rPr>
        <w:t>抽样型号或规格</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抽取样品应为同一型号规格、同一批次的产品。优先按以下原则抽取：釉上彩产品、釉中彩产品、釉下彩产品、色瓷产品、白瓷产品。</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 xml:space="preserve">.2  </w:t>
      </w:r>
      <w:r>
        <w:rPr>
          <w:rFonts w:hint="eastAsia" w:ascii="仿宋_GB2312" w:hAnsi="仿宋_GB2312" w:eastAsia="仿宋_GB2312" w:cs="仿宋_GB2312"/>
          <w:color w:val="000000"/>
          <w:sz w:val="32"/>
          <w:szCs w:val="32"/>
        </w:rPr>
        <w:t>抽样方法、基数及数量</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在企业的成品库内随机抽取有产品质量检验合格证明或者以其他形式表明合格的、近期生产的产品。</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抽查样品基数满足抽样数量即可。</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单个制品抽样</w:t>
      </w:r>
      <w:r>
        <w:rPr>
          <w:rFonts w:hint="eastAsia" w:ascii="仿宋_GB2312" w:hAnsi="仿宋_GB2312" w:eastAsia="仿宋_GB2312" w:cs="仿宋_GB2312"/>
          <w:color w:val="000000"/>
          <w:sz w:val="32"/>
          <w:szCs w:val="32"/>
        </w:rPr>
        <w:t>36</w:t>
      </w:r>
      <w:r>
        <w:rPr>
          <w:rFonts w:hint="eastAsia" w:ascii="仿宋_GB2312" w:hAnsi="仿宋_GB2312" w:eastAsia="仿宋_GB2312" w:cs="仿宋_GB2312"/>
          <w:color w:val="000000"/>
          <w:sz w:val="32"/>
          <w:szCs w:val="32"/>
        </w:rPr>
        <w:t>件（其中烹调器类、包装容器类</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rPr>
        <w:t>件），成套产品抽样</w:t>
      </w: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套（成套产品数量必须满足检验和留样的要求），其中</w:t>
      </w:r>
      <w:r>
        <w:rPr>
          <w:rFonts w:hint="eastAsia" w:ascii="仿宋_GB2312" w:hAnsi="仿宋_GB2312" w:eastAsia="仿宋_GB2312" w:cs="仿宋_GB2312"/>
          <w:color w:val="000000"/>
          <w:sz w:val="32"/>
          <w:szCs w:val="32"/>
        </w:rPr>
        <w:t>30</w:t>
      </w:r>
      <w:r>
        <w:rPr>
          <w:rFonts w:hint="eastAsia" w:ascii="仿宋_GB2312" w:hAnsi="仿宋_GB2312" w:eastAsia="仿宋_GB2312" w:cs="仿宋_GB2312"/>
          <w:color w:val="000000"/>
          <w:sz w:val="32"/>
          <w:szCs w:val="32"/>
        </w:rPr>
        <w:t>件（或烹调器类、包装容器类</w:t>
      </w: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rPr>
        <w:t>件、成套产品</w:t>
      </w: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套）作检验样品，</w:t>
      </w: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件（或</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套）作备用样品。</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随机数</w:t>
      </w:r>
      <w:r>
        <w:rPr>
          <w:rFonts w:hint="eastAsia" w:ascii="仿宋_GB2312" w:hAnsi="仿宋_GB2312" w:eastAsia="仿宋_GB2312" w:cs="仿宋_GB2312"/>
          <w:sz w:val="32"/>
          <w:szCs w:val="32"/>
        </w:rPr>
        <w:t>按标准T/GDAQI 020—2020附录E中E</w:t>
      </w:r>
      <w:r>
        <w:rPr>
          <w:rFonts w:hint="eastAsia" w:ascii="仿宋_GB2312" w:hAnsi="仿宋_GB2312" w:eastAsia="仿宋_GB2312" w:cs="仿宋_GB2312"/>
          <w:sz w:val="32"/>
          <w:szCs w:val="32"/>
        </w:rPr>
        <w:t>.1.1</w:t>
      </w:r>
      <w:r>
        <w:rPr>
          <w:rFonts w:hint="eastAsia" w:ascii="仿宋_GB2312" w:hAnsi="仿宋_GB2312" w:eastAsia="仿宋_GB2312" w:cs="仿宋_GB2312"/>
          <w:color w:val="000000"/>
          <w:sz w:val="32"/>
          <w:szCs w:val="32"/>
        </w:rPr>
        <w:t>使用随机数表、骰子或扑克牌等方法产生。</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 xml:space="preserve">.3  </w:t>
      </w:r>
      <w:r>
        <w:rPr>
          <w:rFonts w:hint="eastAsia" w:ascii="仿宋_GB2312" w:hAnsi="仿宋_GB2312" w:eastAsia="仿宋_GB2312" w:cs="仿宋_GB2312"/>
          <w:color w:val="000000"/>
          <w:sz w:val="32"/>
          <w:szCs w:val="32"/>
        </w:rPr>
        <w:t>样品处置</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.3.1</w:t>
      </w:r>
      <w:r>
        <w:rPr>
          <w:rFonts w:hint="eastAsia" w:ascii="仿宋_GB2312" w:hAnsi="仿宋_GB2312" w:eastAsia="仿宋_GB2312" w:cs="仿宋_GB2312"/>
          <w:color w:val="000000"/>
          <w:sz w:val="32"/>
          <w:szCs w:val="32"/>
        </w:rPr>
        <w:t>检验样品和备用样品应分别签封，并寄、送至指定的检验机构。样品应采用防撞击、防潮包装、寄送样品时应防止剧烈碰撞而损坏样品，同时应有相应影像记录。</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.3.2</w:t>
      </w:r>
      <w:r>
        <w:rPr>
          <w:rFonts w:hint="eastAsia" w:ascii="仿宋_GB2312" w:hAnsi="仿宋_GB2312" w:eastAsia="仿宋_GB2312" w:cs="仿宋_GB2312"/>
          <w:color w:val="000000"/>
          <w:sz w:val="32"/>
          <w:szCs w:val="32"/>
        </w:rPr>
        <w:t>备用样品封存于检验机构。</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 xml:space="preserve">.4  </w:t>
      </w:r>
      <w:r>
        <w:rPr>
          <w:rFonts w:hint="eastAsia" w:ascii="仿宋_GB2312" w:hAnsi="仿宋_GB2312" w:eastAsia="仿宋_GB2312" w:cs="仿宋_GB2312"/>
          <w:color w:val="000000"/>
          <w:sz w:val="32"/>
          <w:szCs w:val="32"/>
        </w:rPr>
        <w:t>抽样单</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应按有关规定填写抽样单，并记录被抽查产品及企业相关信息。同时记录被抽查企业上一年度生产的抽取产品销售总额，以万元计；若企业上一年度未生产，则记录本年度实际销售额，并加以注明。所有产品需备注材质，以及分类：①烹饪器皿、②可微波炉使用制品、③其他常温条件使用器皿。对于产品检验所需技术参数等信息，需要被抽企业提供的，应在现场获取，填写《测试信息确认表(陶瓷)》并经企业确认。</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执行GB/T 3532标准的，需备注瓷质（细瓷类、普瓷类、炻器类）</w:t>
      </w:r>
    </w:p>
    <w:p>
      <w:pPr>
        <w:widowControl w:val="0"/>
        <w:wordWrap/>
        <w:snapToGrid w:val="0"/>
        <w:spacing w:line="240" w:lineRule="auto"/>
        <w:ind w:left="0" w:leftChars="0" w:right="0"/>
        <w:textAlignment w:val="auto"/>
        <w:outlineLvl w:val="9"/>
        <w:rPr>
          <w:rFonts w:hint="eastAsia" w:ascii="仿宋_GB2312" w:hAnsi="仿宋_GB2312" w:eastAsia="仿宋_GB2312" w:cs="仿宋_GB2312"/>
          <w:b/>
          <w:sz w:val="32"/>
          <w:szCs w:val="32"/>
        </w:rPr>
      </w:pPr>
    </w:p>
    <w:p>
      <w:pPr>
        <w:widowControl w:val="0"/>
        <w:wordWrap/>
        <w:snapToGrid w:val="0"/>
        <w:spacing w:line="240" w:lineRule="auto"/>
        <w:ind w:left="0" w:leftChars="0" w:right="0"/>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6 检验要求</w:t>
      </w:r>
    </w:p>
    <w:p>
      <w:pPr>
        <w:widowControl w:val="0"/>
        <w:wordWrap/>
        <w:snapToGrid w:val="0"/>
        <w:spacing w:line="240" w:lineRule="auto"/>
        <w:ind w:left="0" w:leftChars="0" w:right="0" w:firstLine="48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 xml:space="preserve">.1  </w:t>
      </w:r>
      <w:r>
        <w:rPr>
          <w:rFonts w:hint="eastAsia" w:ascii="仿宋_GB2312" w:hAnsi="仿宋_GB2312" w:eastAsia="仿宋_GB2312" w:cs="仿宋_GB2312"/>
          <w:color w:val="000000"/>
          <w:sz w:val="32"/>
          <w:szCs w:val="32"/>
        </w:rPr>
        <w:t>检验项目及重要程度分类</w:t>
      </w:r>
      <w:r>
        <w:rPr>
          <w:rFonts w:hint="eastAsia" w:ascii="仿宋_GB2312" w:hAnsi="仿宋_GB2312" w:eastAsia="仿宋_GB2312" w:cs="仿宋_GB2312"/>
          <w:color w:val="000000"/>
          <w:sz w:val="32"/>
          <w:szCs w:val="32"/>
        </w:rPr>
        <w:t xml:space="preserve"> </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检验项目及重要程度分类见表</w:t>
      </w: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、表</w:t>
      </w:r>
      <w:r>
        <w:rPr>
          <w:rFonts w:hint="eastAsia"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w:t>
      </w:r>
    </w:p>
    <w:p>
      <w:pPr>
        <w:widowControl w:val="0"/>
        <w:wordWrap/>
        <w:adjustRightInd w:val="0"/>
        <w:snapToGrid w:val="0"/>
        <w:spacing w:line="240" w:lineRule="auto"/>
        <w:ind w:left="0" w:leftChars="0" w:right="0" w:firstLine="420" w:firstLineChars="200"/>
        <w:jc w:val="center"/>
        <w:textAlignment w:val="auto"/>
        <w:outlineLvl w:val="9"/>
        <w:rPr>
          <w:rFonts w:hint="eastAsia" w:ascii="仿宋_GB2312" w:hAnsi="仿宋_GB2312" w:eastAsia="仿宋_GB2312" w:cs="仿宋_GB2312"/>
          <w:sz w:val="24"/>
          <w:szCs w:val="24"/>
        </w:rPr>
      </w:pPr>
    </w:p>
    <w:p>
      <w:pPr>
        <w:widowControl w:val="0"/>
        <w:wordWrap/>
        <w:adjustRightInd w:val="0"/>
        <w:snapToGrid w:val="0"/>
        <w:spacing w:line="240" w:lineRule="auto"/>
        <w:ind w:left="0" w:leftChars="0" w:right="0" w:firstLine="420" w:firstLineChars="20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表3 与食物接触的陶瓷制品检验项目及重要程度分类</w:t>
      </w:r>
    </w:p>
    <w:tbl>
      <w:tblPr>
        <w:tblStyle w:val="6"/>
        <w:tblW w:w="8969" w:type="dxa"/>
        <w:jc w:val="center"/>
        <w:tblInd w:w="18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1395"/>
        <w:gridCol w:w="1542"/>
        <w:gridCol w:w="1846"/>
        <w:gridCol w:w="945"/>
        <w:gridCol w:w="730"/>
        <w:gridCol w:w="1158"/>
        <w:gridCol w:w="923"/>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0" w:hRule="atLeast"/>
          <w:jc w:val="center"/>
        </w:trPr>
        <w:tc>
          <w:tcPr>
            <w:tcW w:w="42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1395"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检验项目</w:t>
            </w:r>
          </w:p>
        </w:tc>
        <w:tc>
          <w:tcPr>
            <w:tcW w:w="1542"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依据法律法规或标准条款</w:t>
            </w:r>
          </w:p>
        </w:tc>
        <w:tc>
          <w:tcPr>
            <w:tcW w:w="1846" w:type="dxa"/>
            <w:vAlign w:val="center"/>
          </w:tcPr>
          <w:p>
            <w:pPr>
              <w:widowControl w:val="0"/>
              <w:wordWrap/>
              <w:adjustRightInd w:val="0"/>
              <w:snapToGrid w:val="0"/>
              <w:spacing w:line="240" w:lineRule="auto"/>
              <w:ind w:left="0" w:leftChars="0" w:right="0" w:firstLine="310" w:firstLineChars="147"/>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检测方法</w:t>
            </w:r>
          </w:p>
        </w:tc>
        <w:tc>
          <w:tcPr>
            <w:tcW w:w="945"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强制性</w:t>
            </w:r>
          </w:p>
        </w:tc>
        <w:tc>
          <w:tcPr>
            <w:tcW w:w="730"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非强制性</w:t>
            </w:r>
          </w:p>
        </w:tc>
        <w:tc>
          <w:tcPr>
            <w:tcW w:w="1158"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重要项（A类）</w:t>
            </w:r>
          </w:p>
        </w:tc>
        <w:tc>
          <w:tcPr>
            <w:tcW w:w="933" w:type="dxa"/>
            <w:gridSpan w:val="2"/>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一般项（B类）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cantSplit/>
          <w:jc w:val="center"/>
        </w:trPr>
        <w:tc>
          <w:tcPr>
            <w:tcW w:w="42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395"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吸水率</w:t>
            </w:r>
          </w:p>
        </w:tc>
        <w:tc>
          <w:tcPr>
            <w:tcW w:w="1542"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各产品标准</w:t>
            </w:r>
          </w:p>
        </w:tc>
        <w:tc>
          <w:tcPr>
            <w:tcW w:w="184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3299</w:t>
            </w:r>
          </w:p>
        </w:tc>
        <w:tc>
          <w:tcPr>
            <w:tcW w:w="945"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730"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158"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923"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cantSplit/>
          <w:jc w:val="center"/>
        </w:trPr>
        <w:tc>
          <w:tcPr>
            <w:tcW w:w="42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395"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抗热震性/热稳定性</w:t>
            </w:r>
          </w:p>
        </w:tc>
        <w:tc>
          <w:tcPr>
            <w:tcW w:w="1542"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各产品标准</w:t>
            </w:r>
          </w:p>
        </w:tc>
        <w:tc>
          <w:tcPr>
            <w:tcW w:w="184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3298</w:t>
            </w:r>
          </w:p>
        </w:tc>
        <w:tc>
          <w:tcPr>
            <w:tcW w:w="945"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730"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158"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923"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cantSplit/>
          <w:jc w:val="center"/>
        </w:trPr>
        <w:tc>
          <w:tcPr>
            <w:tcW w:w="42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395"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铅</w:t>
            </w:r>
          </w:p>
        </w:tc>
        <w:tc>
          <w:tcPr>
            <w:tcW w:w="1542"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4806.4</w:t>
            </w:r>
          </w:p>
        </w:tc>
        <w:tc>
          <w:tcPr>
            <w:tcW w:w="184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31604.34</w:t>
            </w:r>
          </w:p>
        </w:tc>
        <w:tc>
          <w:tcPr>
            <w:tcW w:w="945"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730"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1158"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923"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cantSplit/>
          <w:jc w:val="center"/>
        </w:trPr>
        <w:tc>
          <w:tcPr>
            <w:tcW w:w="42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395"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镉</w:t>
            </w:r>
          </w:p>
        </w:tc>
        <w:tc>
          <w:tcPr>
            <w:tcW w:w="1542"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4806.4</w:t>
            </w:r>
          </w:p>
        </w:tc>
        <w:tc>
          <w:tcPr>
            <w:tcW w:w="184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31604.24</w:t>
            </w:r>
          </w:p>
        </w:tc>
        <w:tc>
          <w:tcPr>
            <w:tcW w:w="945"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730"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1158"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923"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cantSplit/>
          <w:jc w:val="center"/>
        </w:trPr>
        <w:tc>
          <w:tcPr>
            <w:tcW w:w="42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395"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微波炉适应性</w:t>
            </w:r>
          </w:p>
        </w:tc>
        <w:tc>
          <w:tcPr>
            <w:tcW w:w="1542"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3532</w:t>
            </w:r>
          </w:p>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28114</w:t>
            </w:r>
          </w:p>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28115</w:t>
            </w:r>
          </w:p>
        </w:tc>
        <w:tc>
          <w:tcPr>
            <w:tcW w:w="184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3532</w:t>
            </w:r>
          </w:p>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27587</w:t>
            </w:r>
          </w:p>
        </w:tc>
        <w:tc>
          <w:tcPr>
            <w:tcW w:w="945"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730"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158"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923"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r>
    </w:tbl>
    <w:p>
      <w:pPr>
        <w:widowControl w:val="0"/>
        <w:wordWrap/>
        <w:adjustRightInd w:val="0"/>
        <w:snapToGrid w:val="0"/>
        <w:spacing w:line="240" w:lineRule="auto"/>
        <w:ind w:left="0" w:leftChars="0" w:right="0" w:firstLine="420" w:firstLineChars="200"/>
        <w:jc w:val="center"/>
        <w:textAlignment w:val="auto"/>
        <w:outlineLvl w:val="9"/>
        <w:rPr>
          <w:rFonts w:hint="eastAsia" w:ascii="仿宋_GB2312" w:hAnsi="仿宋_GB2312" w:eastAsia="仿宋_GB2312" w:cs="仿宋_GB2312"/>
          <w:sz w:val="32"/>
          <w:szCs w:val="32"/>
        </w:rPr>
      </w:pPr>
    </w:p>
    <w:p>
      <w:pPr>
        <w:widowControl w:val="0"/>
        <w:wordWrap/>
        <w:adjustRightInd w:val="0"/>
        <w:snapToGrid w:val="0"/>
        <w:spacing w:line="240" w:lineRule="auto"/>
        <w:ind w:left="0" w:leftChars="0" w:right="0" w:firstLine="420" w:firstLineChars="200"/>
        <w:jc w:val="center"/>
        <w:textAlignment w:val="auto"/>
        <w:outlineLvl w:val="9"/>
        <w:rPr>
          <w:rFonts w:hint="eastAsia" w:ascii="仿宋_GB2312" w:hAnsi="仿宋_GB2312" w:eastAsia="仿宋_GB2312" w:cs="仿宋_GB2312"/>
          <w:sz w:val="32"/>
          <w:szCs w:val="32"/>
        </w:rPr>
      </w:pPr>
    </w:p>
    <w:p>
      <w:pPr>
        <w:widowControl w:val="0"/>
        <w:wordWrap/>
        <w:adjustRightInd w:val="0"/>
        <w:snapToGrid w:val="0"/>
        <w:spacing w:line="240" w:lineRule="auto"/>
        <w:ind w:left="0" w:leftChars="0" w:right="0" w:firstLine="420" w:firstLineChars="20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表4 陶瓷烹调器检验项目及重要程度分类</w:t>
      </w:r>
    </w:p>
    <w:tbl>
      <w:tblPr>
        <w:tblStyle w:val="6"/>
        <w:tblW w:w="8991" w:type="dxa"/>
        <w:jc w:val="center"/>
        <w:tblInd w:w="17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680"/>
        <w:gridCol w:w="1395"/>
        <w:gridCol w:w="1536"/>
        <w:gridCol w:w="834"/>
        <w:gridCol w:w="780"/>
        <w:gridCol w:w="1035"/>
        <w:gridCol w:w="1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0" w:hRule="atLeast"/>
          <w:jc w:val="center"/>
        </w:trPr>
        <w:tc>
          <w:tcPr>
            <w:tcW w:w="630" w:type="dxa"/>
            <w:vAlign w:val="center"/>
          </w:tcPr>
          <w:p>
            <w:pPr>
              <w:widowControl w:val="0"/>
              <w:wordWrap/>
              <w:adjustRightInd w:val="0"/>
              <w:snapToGrid w:val="0"/>
              <w:spacing w:line="240" w:lineRule="auto"/>
              <w:ind w:left="0" w:leftChars="0" w:right="0"/>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1680" w:type="dxa"/>
            <w:vAlign w:val="center"/>
          </w:tcPr>
          <w:p>
            <w:pPr>
              <w:widowControl w:val="0"/>
              <w:wordWrap/>
              <w:adjustRightInd w:val="0"/>
              <w:snapToGrid w:val="0"/>
              <w:spacing w:line="240" w:lineRule="auto"/>
              <w:ind w:right="0"/>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检验项目</w:t>
            </w:r>
          </w:p>
        </w:tc>
        <w:tc>
          <w:tcPr>
            <w:tcW w:w="1395" w:type="dxa"/>
            <w:vAlign w:val="center"/>
          </w:tcPr>
          <w:p>
            <w:pPr>
              <w:widowControl w:val="0"/>
              <w:wordWrap/>
              <w:adjustRightInd w:val="0"/>
              <w:snapToGrid w:val="0"/>
              <w:spacing w:line="240" w:lineRule="auto"/>
              <w:ind w:right="0"/>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依据标准</w:t>
            </w:r>
          </w:p>
        </w:tc>
        <w:tc>
          <w:tcPr>
            <w:tcW w:w="1536" w:type="dxa"/>
            <w:vAlign w:val="center"/>
          </w:tcPr>
          <w:p>
            <w:pPr>
              <w:widowControl w:val="0"/>
              <w:wordWrap/>
              <w:adjustRightInd w:val="0"/>
              <w:snapToGrid w:val="0"/>
              <w:spacing w:line="240" w:lineRule="auto"/>
              <w:ind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检测方法</w:t>
            </w:r>
          </w:p>
        </w:tc>
        <w:tc>
          <w:tcPr>
            <w:tcW w:w="834"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强制性</w:t>
            </w:r>
          </w:p>
        </w:tc>
        <w:tc>
          <w:tcPr>
            <w:tcW w:w="780"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非强制性</w:t>
            </w:r>
          </w:p>
        </w:tc>
        <w:tc>
          <w:tcPr>
            <w:tcW w:w="1035"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重要项（A类）</w:t>
            </w:r>
          </w:p>
        </w:tc>
        <w:tc>
          <w:tcPr>
            <w:tcW w:w="1101" w:type="dxa"/>
            <w:vAlign w:val="center"/>
          </w:tcPr>
          <w:p>
            <w:pPr>
              <w:widowControl w:val="0"/>
              <w:wordWrap/>
              <w:adjustRightInd w:val="0"/>
              <w:snapToGrid w:val="0"/>
              <w:spacing w:line="240" w:lineRule="auto"/>
              <w:ind w:left="0" w:leftChars="0" w:right="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一般项（B类）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68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铅</w:t>
            </w:r>
          </w:p>
        </w:tc>
        <w:tc>
          <w:tcPr>
            <w:tcW w:w="1395"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4806.4</w:t>
            </w:r>
          </w:p>
        </w:tc>
        <w:tc>
          <w:tcPr>
            <w:tcW w:w="153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31604.34</w:t>
            </w:r>
          </w:p>
        </w:tc>
        <w:tc>
          <w:tcPr>
            <w:tcW w:w="834"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780"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1035"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101"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8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镉</w:t>
            </w:r>
          </w:p>
        </w:tc>
        <w:tc>
          <w:tcPr>
            <w:tcW w:w="1395"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4806.4</w:t>
            </w:r>
          </w:p>
        </w:tc>
        <w:tc>
          <w:tcPr>
            <w:tcW w:w="153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31604.24</w:t>
            </w:r>
          </w:p>
        </w:tc>
        <w:tc>
          <w:tcPr>
            <w:tcW w:w="834"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780"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1035"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101"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68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抗热震性</w:t>
            </w:r>
          </w:p>
        </w:tc>
        <w:tc>
          <w:tcPr>
            <w:tcW w:w="1395"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QB/T2580</w:t>
            </w:r>
          </w:p>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QB/T2579</w:t>
            </w:r>
          </w:p>
        </w:tc>
        <w:tc>
          <w:tcPr>
            <w:tcW w:w="153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QB/T2580</w:t>
            </w:r>
          </w:p>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QB/T2579</w:t>
            </w:r>
          </w:p>
        </w:tc>
        <w:tc>
          <w:tcPr>
            <w:tcW w:w="834"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780"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035"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1101"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680"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微波炉适应性</w:t>
            </w:r>
          </w:p>
        </w:tc>
        <w:tc>
          <w:tcPr>
            <w:tcW w:w="1395"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QB/T2580</w:t>
            </w:r>
          </w:p>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QB/T2579</w:t>
            </w:r>
          </w:p>
        </w:tc>
        <w:tc>
          <w:tcPr>
            <w:tcW w:w="153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27587</w:t>
            </w:r>
          </w:p>
        </w:tc>
        <w:tc>
          <w:tcPr>
            <w:tcW w:w="834"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c>
          <w:tcPr>
            <w:tcW w:w="780" w:type="dxa"/>
            <w:vAlign w:val="top"/>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035"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101" w:type="dxa"/>
            <w:vAlign w:val="center"/>
          </w:tcPr>
          <w:p>
            <w:pPr>
              <w:widowControl w:val="0"/>
              <w:wordWrap/>
              <w:spacing w:line="240" w:lineRule="auto"/>
              <w:ind w:left="0" w:leftChars="0" w:right="0"/>
              <w:jc w:val="center"/>
              <w:textAlignment w:val="auto"/>
              <w:outlineLvl w:val="9"/>
              <w:rPr>
                <w:rFonts w:hint="eastAsia" w:ascii="仿宋_GB2312" w:hAnsi="仿宋_GB2312" w:eastAsia="仿宋_GB2312" w:cs="仿宋_GB2312"/>
                <w:sz w:val="24"/>
                <w:szCs w:val="24"/>
              </w:rPr>
            </w:pPr>
          </w:p>
        </w:tc>
      </w:tr>
    </w:tbl>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 xml:space="preserve">.2  </w:t>
      </w:r>
      <w:r>
        <w:rPr>
          <w:rFonts w:hint="eastAsia" w:ascii="仿宋_GB2312" w:hAnsi="仿宋_GB2312" w:eastAsia="仿宋_GB2312" w:cs="仿宋_GB2312"/>
          <w:color w:val="000000"/>
          <w:sz w:val="32"/>
          <w:szCs w:val="32"/>
        </w:rPr>
        <w:t>检验应注意的问题</w:t>
      </w:r>
    </w:p>
    <w:p>
      <w:pPr>
        <w:widowControl w:val="0"/>
        <w:wordWrap/>
        <w:snapToGrid w:val="0"/>
        <w:spacing w:line="240" w:lineRule="auto"/>
        <w:ind w:left="0" w:leftChars="0" w:right="0" w:firstLine="418" w:firstLineChars="199"/>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.2.1</w:t>
      </w:r>
      <w:r>
        <w:rPr>
          <w:rFonts w:hint="eastAsia" w:ascii="仿宋_GB2312" w:hAnsi="仿宋_GB2312" w:eastAsia="仿宋_GB2312" w:cs="仿宋_GB2312"/>
          <w:color w:val="000000"/>
          <w:sz w:val="32"/>
          <w:szCs w:val="32"/>
        </w:rPr>
        <w:t>样品检验过程遵循如下原则</w:t>
      </w:r>
    </w:p>
    <w:p>
      <w:pPr>
        <w:widowControl w:val="0"/>
        <w:wordWrap/>
        <w:snapToGrid w:val="0"/>
        <w:spacing w:line="240" w:lineRule="auto"/>
        <w:ind w:left="0" w:leftChars="0" w:right="0" w:firstLine="418" w:firstLineChars="199"/>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a)若被检产品明示的质量要求高于本细则中检验项目依据的标准要求时，应按被检产品明示的质量要求判定。</w:t>
      </w:r>
    </w:p>
    <w:p>
      <w:pPr>
        <w:widowControl w:val="0"/>
        <w:wordWrap/>
        <w:snapToGrid w:val="0"/>
        <w:spacing w:line="240" w:lineRule="auto"/>
        <w:ind w:left="0" w:leftChars="0" w:right="0" w:firstLine="418" w:firstLineChars="199"/>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b)若被检产品明示的质量要求低于本细则中检验项目依据的强制性标准要求时，应按照强制性标准要求判定。</w:t>
      </w:r>
    </w:p>
    <w:p>
      <w:pPr>
        <w:widowControl w:val="0"/>
        <w:wordWrap/>
        <w:snapToGrid w:val="0"/>
        <w:spacing w:line="240" w:lineRule="auto"/>
        <w:ind w:left="0" w:leftChars="0" w:right="0" w:firstLine="418" w:firstLineChars="199"/>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c)若被检产品明示的质量要求低于或包含细则中检验项目依据的推荐性标准要求时，应以被检产品明示的质量要求判定。</w:t>
      </w:r>
    </w:p>
    <w:p>
      <w:pPr>
        <w:widowControl w:val="0"/>
        <w:wordWrap/>
        <w:snapToGrid w:val="0"/>
        <w:spacing w:line="240" w:lineRule="auto"/>
        <w:ind w:left="0" w:leftChars="0" w:right="0" w:firstLine="418" w:firstLineChars="199"/>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d)若被检产品明示的质量要求缺少本细则中检验项目依据的强制性标准要求时，应按照强制性标准要求判定。</w:t>
      </w:r>
    </w:p>
    <w:p>
      <w:pPr>
        <w:widowControl w:val="0"/>
        <w:wordWrap/>
        <w:snapToGrid w:val="0"/>
        <w:spacing w:line="240" w:lineRule="auto"/>
        <w:ind w:left="0" w:leftChars="0" w:right="0" w:firstLine="418" w:firstLineChars="199"/>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e)若被检产品明示的质量要求缺少本细则中检验项目依据的推荐性标准要求时，该项目不参与判定，但应在检验报告备注中进行说明。</w:t>
      </w:r>
    </w:p>
    <w:p>
      <w:pPr>
        <w:widowControl w:val="0"/>
        <w:wordWrap/>
        <w:snapToGrid w:val="0"/>
        <w:spacing w:line="240" w:lineRule="auto"/>
        <w:ind w:left="0" w:leftChars="0" w:right="0" w:firstLine="418" w:firstLineChars="199"/>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.2.2</w:t>
      </w:r>
      <w:r>
        <w:rPr>
          <w:rFonts w:hint="eastAsia" w:ascii="仿宋_GB2312" w:hAnsi="仿宋_GB2312" w:eastAsia="仿宋_GB2312" w:cs="仿宋_GB2312"/>
          <w:color w:val="000000"/>
          <w:sz w:val="32"/>
          <w:szCs w:val="32"/>
        </w:rPr>
        <w:t>铅、镉按</w:t>
      </w:r>
      <w:r>
        <w:rPr>
          <w:rFonts w:hint="eastAsia" w:ascii="仿宋_GB2312" w:hAnsi="仿宋_GB2312" w:eastAsia="仿宋_GB2312" w:cs="仿宋_GB2312"/>
          <w:color w:val="000000"/>
          <w:sz w:val="32"/>
          <w:szCs w:val="32"/>
        </w:rPr>
        <w:t>GB 4806.4-2016</w:t>
      </w:r>
      <w:r>
        <w:rPr>
          <w:rFonts w:hint="eastAsia" w:ascii="仿宋_GB2312" w:hAnsi="仿宋_GB2312" w:eastAsia="仿宋_GB2312" w:cs="仿宋_GB2312"/>
          <w:color w:val="000000"/>
          <w:sz w:val="32"/>
          <w:szCs w:val="32"/>
        </w:rPr>
        <w:t>要求判定。</w:t>
      </w:r>
    </w:p>
    <w:p>
      <w:pPr>
        <w:widowControl w:val="0"/>
        <w:wordWrap/>
        <w:snapToGrid w:val="0"/>
        <w:spacing w:line="240" w:lineRule="auto"/>
        <w:ind w:left="0" w:leftChars="0" w:right="0" w:firstLine="418" w:firstLineChars="199"/>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 xml:space="preserve">.2.3 </w:t>
      </w:r>
      <w:r>
        <w:rPr>
          <w:rFonts w:hint="eastAsia" w:ascii="仿宋_GB2312" w:hAnsi="仿宋_GB2312" w:eastAsia="仿宋_GB2312" w:cs="仿宋_GB2312"/>
          <w:color w:val="000000"/>
          <w:sz w:val="32"/>
          <w:szCs w:val="32"/>
        </w:rPr>
        <w:t>吸水率项目检验时，采用仲裁法。</w:t>
      </w:r>
    </w:p>
    <w:p>
      <w:pPr>
        <w:widowControl w:val="0"/>
        <w:wordWrap/>
        <w:snapToGrid w:val="0"/>
        <w:spacing w:line="240" w:lineRule="auto"/>
        <w:ind w:left="0" w:leftChars="0" w:right="0" w:firstLine="418" w:firstLineChars="199"/>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.2.4</w:t>
      </w:r>
      <w:r>
        <w:rPr>
          <w:rFonts w:hint="eastAsia" w:ascii="仿宋_GB2312" w:hAnsi="仿宋_GB2312" w:eastAsia="仿宋_GB2312" w:cs="仿宋_GB2312"/>
          <w:color w:val="000000"/>
          <w:sz w:val="32"/>
          <w:szCs w:val="32"/>
        </w:rPr>
        <w:t>不得将抗热震性（热稳定性）、微波炉适应性等检验项目试验后的样品重复用于类似可能对样品有损坏检验项目的试验。</w:t>
      </w:r>
    </w:p>
    <w:p>
      <w:pPr>
        <w:widowControl w:val="0"/>
        <w:wordWrap/>
        <w:snapToGrid w:val="0"/>
        <w:spacing w:line="240" w:lineRule="auto"/>
        <w:ind w:left="0" w:leftChars="0" w:right="0"/>
        <w:textAlignment w:val="auto"/>
        <w:outlineLvl w:val="9"/>
        <w:rPr>
          <w:rFonts w:hint="eastAsia" w:ascii="仿宋_GB2312" w:hAnsi="仿宋_GB2312" w:eastAsia="仿宋_GB2312" w:cs="仿宋_GB2312"/>
          <w:b/>
          <w:color w:val="000000"/>
          <w:sz w:val="32"/>
          <w:szCs w:val="32"/>
        </w:rPr>
      </w:pPr>
    </w:p>
    <w:p>
      <w:pPr>
        <w:widowControl w:val="0"/>
        <w:wordWrap/>
        <w:snapToGrid w:val="0"/>
        <w:spacing w:line="240" w:lineRule="auto"/>
        <w:ind w:left="0" w:leftChars="0" w:right="0"/>
        <w:textAlignment w:val="auto"/>
        <w:outlineLvl w:val="9"/>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7判定原则</w:t>
      </w:r>
    </w:p>
    <w:p>
      <w:pPr>
        <w:widowControl w:val="0"/>
        <w:wordWrap/>
        <w:snapToGrid w:val="0"/>
        <w:spacing w:line="240" w:lineRule="auto"/>
        <w:ind w:left="0" w:leftChars="0" w:right="0" w:firstLine="418" w:firstLineChars="199"/>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检验项目、样品数量及单项判定见表</w:t>
      </w: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、表</w:t>
      </w: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w:t>
      </w:r>
    </w:p>
    <w:p>
      <w:pPr>
        <w:widowControl w:val="0"/>
        <w:wordWrap/>
        <w:adjustRightInd w:val="0"/>
        <w:snapToGrid w:val="0"/>
        <w:spacing w:line="240" w:lineRule="auto"/>
        <w:ind w:left="0" w:leftChars="0" w:right="0" w:firstLine="420" w:firstLineChars="200"/>
        <w:jc w:val="center"/>
        <w:textAlignment w:val="auto"/>
        <w:outlineLvl w:val="9"/>
        <w:rPr>
          <w:rFonts w:hint="eastAsia" w:ascii="仿宋_GB2312" w:hAnsi="仿宋_GB2312" w:eastAsia="仿宋_GB2312" w:cs="仿宋_GB2312"/>
          <w:sz w:val="32"/>
          <w:szCs w:val="32"/>
        </w:rPr>
      </w:pPr>
      <w:bookmarkStart w:id="0" w:name="_GoBack"/>
      <w:bookmarkEnd w:id="0"/>
    </w:p>
    <w:p>
      <w:pPr>
        <w:widowControl w:val="0"/>
        <w:wordWrap/>
        <w:adjustRightInd w:val="0"/>
        <w:snapToGrid w:val="0"/>
        <w:spacing w:line="240" w:lineRule="auto"/>
        <w:ind w:left="0" w:leftChars="0" w:right="0" w:firstLine="420" w:firstLineChars="20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表5  与食物接触的陶瓷制品检验项目、样品数量及单项判定</w:t>
      </w:r>
    </w:p>
    <w:tbl>
      <w:tblPr>
        <w:tblStyle w:val="6"/>
        <w:tblW w:w="8520" w:type="dxa"/>
        <w:tblInd w:w="3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693"/>
        <w:gridCol w:w="1843"/>
        <w:gridCol w:w="3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6" w:type="dxa"/>
            <w:vAlign w:val="center"/>
          </w:tcPr>
          <w:p>
            <w:pPr>
              <w:widowControl w:val="0"/>
              <w:wordWrap/>
              <w:adjustRightInd w:val="0"/>
              <w:snapToGrid w:val="0"/>
              <w:spacing w:line="240" w:lineRule="auto"/>
              <w:ind w:right="0"/>
              <w:jc w:val="both"/>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2693" w:type="dxa"/>
            <w:vAlign w:val="center"/>
          </w:tcPr>
          <w:p>
            <w:pPr>
              <w:widowControl w:val="0"/>
              <w:wordWrap/>
              <w:adjustRightInd w:val="0"/>
              <w:snapToGrid w:val="0"/>
              <w:spacing w:line="240" w:lineRule="auto"/>
              <w:ind w:left="0" w:leftChars="0" w:right="0" w:firstLine="422" w:firstLineChars="20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检验项目</w:t>
            </w:r>
          </w:p>
        </w:tc>
        <w:tc>
          <w:tcPr>
            <w:tcW w:w="1843" w:type="dxa"/>
            <w:vAlign w:val="center"/>
          </w:tcPr>
          <w:p>
            <w:pPr>
              <w:widowControl w:val="0"/>
              <w:wordWrap/>
              <w:adjustRightInd w:val="0"/>
              <w:snapToGrid w:val="0"/>
              <w:spacing w:line="240" w:lineRule="auto"/>
              <w:ind w:left="0" w:leftChars="0" w:right="0" w:firstLine="422" w:firstLineChars="20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样品量</w:t>
            </w:r>
          </w:p>
        </w:tc>
        <w:tc>
          <w:tcPr>
            <w:tcW w:w="3268" w:type="dxa"/>
            <w:vAlign w:val="center"/>
          </w:tcPr>
          <w:p>
            <w:pPr>
              <w:widowControl w:val="0"/>
              <w:wordWrap/>
              <w:adjustRightInd w:val="0"/>
              <w:snapToGrid w:val="0"/>
              <w:spacing w:line="240" w:lineRule="auto"/>
              <w:ind w:left="0" w:leftChars="0" w:right="0" w:firstLine="422" w:firstLineChars="20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单项判定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71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693"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吸水率</w:t>
            </w:r>
          </w:p>
        </w:tc>
        <w:tc>
          <w:tcPr>
            <w:tcW w:w="1843"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=3、n</w:t>
            </w:r>
            <w:r>
              <w:rPr>
                <w:rFonts w:hint="eastAsia" w:ascii="仿宋_GB2312" w:hAnsi="仿宋_GB2312" w:eastAsia="仿宋_GB2312" w:cs="仿宋_GB2312"/>
                <w:sz w:val="24"/>
                <w:szCs w:val="24"/>
                <w:vertAlign w:val="subscript"/>
              </w:rPr>
              <w:t>2</w:t>
            </w:r>
            <w:r>
              <w:rPr>
                <w:rFonts w:hint="eastAsia" w:ascii="仿宋_GB2312" w:hAnsi="仿宋_GB2312" w:eastAsia="仿宋_GB2312" w:cs="仿宋_GB2312"/>
                <w:sz w:val="24"/>
                <w:szCs w:val="24"/>
              </w:rPr>
              <w:t>=3</w:t>
            </w:r>
          </w:p>
        </w:tc>
        <w:tc>
          <w:tcPr>
            <w:tcW w:w="3268"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Ac</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=0,Re</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=2   Ac</w:t>
            </w:r>
            <w:r>
              <w:rPr>
                <w:rFonts w:hint="eastAsia" w:ascii="仿宋_GB2312" w:hAnsi="仿宋_GB2312" w:eastAsia="仿宋_GB2312" w:cs="仿宋_GB2312"/>
                <w:sz w:val="24"/>
                <w:szCs w:val="24"/>
                <w:vertAlign w:val="subscript"/>
              </w:rPr>
              <w:t>2</w:t>
            </w:r>
            <w:r>
              <w:rPr>
                <w:rFonts w:hint="eastAsia" w:ascii="仿宋_GB2312" w:hAnsi="仿宋_GB2312" w:eastAsia="仿宋_GB2312" w:cs="仿宋_GB2312"/>
                <w:sz w:val="24"/>
                <w:szCs w:val="24"/>
              </w:rPr>
              <w:t>=1,Re</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71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693"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抗热震性/热稳定性</w:t>
            </w:r>
          </w:p>
        </w:tc>
        <w:tc>
          <w:tcPr>
            <w:tcW w:w="1843"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=5、n</w:t>
            </w:r>
            <w:r>
              <w:rPr>
                <w:rFonts w:hint="eastAsia" w:ascii="仿宋_GB2312" w:hAnsi="仿宋_GB2312" w:eastAsia="仿宋_GB2312" w:cs="仿宋_GB2312"/>
                <w:sz w:val="24"/>
                <w:szCs w:val="24"/>
                <w:vertAlign w:val="subscript"/>
              </w:rPr>
              <w:t>2</w:t>
            </w:r>
            <w:r>
              <w:rPr>
                <w:rFonts w:hint="eastAsia" w:ascii="仿宋_GB2312" w:hAnsi="仿宋_GB2312" w:eastAsia="仿宋_GB2312" w:cs="仿宋_GB2312"/>
                <w:sz w:val="24"/>
                <w:szCs w:val="24"/>
              </w:rPr>
              <w:t>=5</w:t>
            </w:r>
          </w:p>
        </w:tc>
        <w:tc>
          <w:tcPr>
            <w:tcW w:w="3268"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Ac</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=0,Re</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=2   Ac</w:t>
            </w:r>
            <w:r>
              <w:rPr>
                <w:rFonts w:hint="eastAsia" w:ascii="仿宋_GB2312" w:hAnsi="仿宋_GB2312" w:eastAsia="仿宋_GB2312" w:cs="仿宋_GB2312"/>
                <w:sz w:val="24"/>
                <w:szCs w:val="24"/>
                <w:vertAlign w:val="subscript"/>
              </w:rPr>
              <w:t>2</w:t>
            </w:r>
            <w:r>
              <w:rPr>
                <w:rFonts w:hint="eastAsia" w:ascii="仿宋_GB2312" w:hAnsi="仿宋_GB2312" w:eastAsia="仿宋_GB2312" w:cs="仿宋_GB2312"/>
                <w:sz w:val="24"/>
                <w:szCs w:val="24"/>
              </w:rPr>
              <w:t>=1,Re</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71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693"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铅</w:t>
            </w:r>
          </w:p>
        </w:tc>
        <w:tc>
          <w:tcPr>
            <w:tcW w:w="1843"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n=6</w:t>
            </w:r>
          </w:p>
        </w:tc>
        <w:tc>
          <w:tcPr>
            <w:tcW w:w="3268"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Ac=0,Re=1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71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693"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镉</w:t>
            </w:r>
          </w:p>
        </w:tc>
        <w:tc>
          <w:tcPr>
            <w:tcW w:w="1843"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n=6</w:t>
            </w:r>
          </w:p>
        </w:tc>
        <w:tc>
          <w:tcPr>
            <w:tcW w:w="3268"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Ac=0,Re=1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716"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2693"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微波炉适应性</w:t>
            </w:r>
          </w:p>
        </w:tc>
        <w:tc>
          <w:tcPr>
            <w:tcW w:w="1843"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n=3</w:t>
            </w:r>
          </w:p>
        </w:tc>
        <w:tc>
          <w:tcPr>
            <w:tcW w:w="3268"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Ac=0,Re=1</w:t>
            </w:r>
          </w:p>
        </w:tc>
      </w:tr>
    </w:tbl>
    <w:p>
      <w:pPr>
        <w:widowControl w:val="0"/>
        <w:wordWrap/>
        <w:adjustRightInd w:val="0"/>
        <w:snapToGrid w:val="0"/>
        <w:spacing w:line="240" w:lineRule="auto"/>
        <w:ind w:left="0" w:leftChars="0" w:right="0" w:firstLine="420" w:firstLineChars="200"/>
        <w:jc w:val="center"/>
        <w:textAlignment w:val="auto"/>
        <w:outlineLvl w:val="9"/>
        <w:rPr>
          <w:rFonts w:hint="eastAsia" w:ascii="仿宋_GB2312" w:hAnsi="仿宋_GB2312" w:eastAsia="仿宋_GB2312" w:cs="仿宋_GB2312"/>
          <w:bCs/>
          <w:sz w:val="24"/>
          <w:szCs w:val="24"/>
        </w:rPr>
      </w:pPr>
    </w:p>
    <w:p>
      <w:pPr>
        <w:widowControl w:val="0"/>
        <w:wordWrap/>
        <w:adjustRightInd w:val="0"/>
        <w:snapToGrid w:val="0"/>
        <w:spacing w:line="240" w:lineRule="auto"/>
        <w:ind w:left="0" w:leftChars="0" w:right="0" w:firstLine="420" w:firstLineChars="20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表6 陶瓷烹调器检验项目、样品数量及单项判定</w:t>
      </w:r>
    </w:p>
    <w:tbl>
      <w:tblPr>
        <w:tblStyle w:val="6"/>
        <w:tblW w:w="8550" w:type="dxa"/>
        <w:tblInd w:w="3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2674"/>
        <w:gridCol w:w="1862"/>
        <w:gridCol w:w="3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1" w:type="dxa"/>
            <w:vAlign w:val="top"/>
          </w:tcPr>
          <w:p>
            <w:pPr>
              <w:widowControl w:val="0"/>
              <w:wordWrap/>
              <w:adjustRightInd w:val="0"/>
              <w:snapToGrid w:val="0"/>
              <w:spacing w:line="240" w:lineRule="auto"/>
              <w:ind w:right="0"/>
              <w:jc w:val="both"/>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2674" w:type="dxa"/>
            <w:vAlign w:val="top"/>
          </w:tcPr>
          <w:p>
            <w:pPr>
              <w:widowControl w:val="0"/>
              <w:wordWrap/>
              <w:adjustRightInd w:val="0"/>
              <w:snapToGrid w:val="0"/>
              <w:spacing w:line="240" w:lineRule="auto"/>
              <w:ind w:left="0" w:leftChars="0" w:right="0" w:firstLine="422" w:firstLineChars="20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检验项目</w:t>
            </w:r>
          </w:p>
        </w:tc>
        <w:tc>
          <w:tcPr>
            <w:tcW w:w="1862" w:type="dxa"/>
            <w:vAlign w:val="top"/>
          </w:tcPr>
          <w:p>
            <w:pPr>
              <w:widowControl w:val="0"/>
              <w:wordWrap/>
              <w:adjustRightInd w:val="0"/>
              <w:snapToGrid w:val="0"/>
              <w:spacing w:line="240" w:lineRule="auto"/>
              <w:ind w:left="0" w:leftChars="0" w:right="0" w:firstLine="422" w:firstLineChars="20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样品量</w:t>
            </w:r>
          </w:p>
        </w:tc>
        <w:tc>
          <w:tcPr>
            <w:tcW w:w="3283" w:type="dxa"/>
            <w:vAlign w:val="top"/>
          </w:tcPr>
          <w:p>
            <w:pPr>
              <w:widowControl w:val="0"/>
              <w:wordWrap/>
              <w:adjustRightInd w:val="0"/>
              <w:snapToGrid w:val="0"/>
              <w:spacing w:line="240" w:lineRule="auto"/>
              <w:ind w:left="0" w:leftChars="0" w:right="0" w:firstLine="422" w:firstLineChars="200"/>
              <w:jc w:val="center"/>
              <w:textAlignment w:val="auto"/>
              <w:outlineLvl w:val="9"/>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单项判定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31"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674"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铅</w:t>
            </w:r>
          </w:p>
        </w:tc>
        <w:tc>
          <w:tcPr>
            <w:tcW w:w="1862"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n=6</w:t>
            </w:r>
          </w:p>
        </w:tc>
        <w:tc>
          <w:tcPr>
            <w:tcW w:w="3283"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Ac=0,Re=1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31"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674"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镉</w:t>
            </w:r>
          </w:p>
        </w:tc>
        <w:tc>
          <w:tcPr>
            <w:tcW w:w="1862"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n=6</w:t>
            </w:r>
          </w:p>
        </w:tc>
        <w:tc>
          <w:tcPr>
            <w:tcW w:w="3283"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Ac=0,Re=1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31"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674"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抗热震性</w:t>
            </w:r>
          </w:p>
        </w:tc>
        <w:tc>
          <w:tcPr>
            <w:tcW w:w="1862"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=5、n</w:t>
            </w:r>
            <w:r>
              <w:rPr>
                <w:rFonts w:hint="eastAsia" w:ascii="仿宋_GB2312" w:hAnsi="仿宋_GB2312" w:eastAsia="仿宋_GB2312" w:cs="仿宋_GB2312"/>
                <w:sz w:val="24"/>
                <w:szCs w:val="24"/>
                <w:vertAlign w:val="subscript"/>
              </w:rPr>
              <w:t>2</w:t>
            </w:r>
            <w:r>
              <w:rPr>
                <w:rFonts w:hint="eastAsia" w:ascii="仿宋_GB2312" w:hAnsi="仿宋_GB2312" w:eastAsia="仿宋_GB2312" w:cs="仿宋_GB2312"/>
                <w:sz w:val="24"/>
                <w:szCs w:val="24"/>
              </w:rPr>
              <w:t>=5</w:t>
            </w:r>
          </w:p>
        </w:tc>
        <w:tc>
          <w:tcPr>
            <w:tcW w:w="3283"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Ac</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=0,Re</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=2   Ac</w:t>
            </w:r>
            <w:r>
              <w:rPr>
                <w:rFonts w:hint="eastAsia" w:ascii="仿宋_GB2312" w:hAnsi="仿宋_GB2312" w:eastAsia="仿宋_GB2312" w:cs="仿宋_GB2312"/>
                <w:sz w:val="24"/>
                <w:szCs w:val="24"/>
                <w:vertAlign w:val="subscript"/>
              </w:rPr>
              <w:t>2</w:t>
            </w:r>
            <w:r>
              <w:rPr>
                <w:rFonts w:hint="eastAsia" w:ascii="仿宋_GB2312" w:hAnsi="仿宋_GB2312" w:eastAsia="仿宋_GB2312" w:cs="仿宋_GB2312"/>
                <w:sz w:val="24"/>
                <w:szCs w:val="24"/>
              </w:rPr>
              <w:t>=1,Re</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31"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674" w:type="dxa"/>
            <w:vAlign w:val="center"/>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微波炉适应性</w:t>
            </w:r>
          </w:p>
        </w:tc>
        <w:tc>
          <w:tcPr>
            <w:tcW w:w="1862"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n=3</w:t>
            </w:r>
          </w:p>
        </w:tc>
        <w:tc>
          <w:tcPr>
            <w:tcW w:w="3283" w:type="dxa"/>
            <w:vAlign w:val="top"/>
          </w:tcPr>
          <w:p>
            <w:pPr>
              <w:widowControl w:val="0"/>
              <w:wordWrap/>
              <w:snapToGrid w:val="0"/>
              <w:spacing w:line="240" w:lineRule="auto"/>
              <w:ind w:left="0" w:leftChars="0" w:right="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Ac=0,Re=1</w:t>
            </w:r>
          </w:p>
        </w:tc>
      </w:tr>
    </w:tbl>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经检验，检验项目全部合格，判定为被抽查产品未发现不合格</w:t>
      </w:r>
      <w:r>
        <w:rPr>
          <w:rFonts w:hint="eastAsia" w:ascii="仿宋_GB2312" w:hAnsi="仿宋_GB2312" w:eastAsia="仿宋_GB2312" w:cs="仿宋_GB2312"/>
          <w:color w:val="000000"/>
          <w:sz w:val="32"/>
          <w:szCs w:val="32"/>
        </w:rPr>
        <w:t>；检验项目中任一项或一项以上不合格，判定为被抽查产品不合格。</w:t>
      </w:r>
    </w:p>
    <w:p>
      <w:pPr>
        <w:widowControl w:val="0"/>
        <w:wordWrap/>
        <w:snapToGrid w:val="0"/>
        <w:spacing w:line="240" w:lineRule="auto"/>
        <w:ind w:left="0" w:leftChars="0" w:right="0"/>
        <w:textAlignment w:val="auto"/>
        <w:outlineLvl w:val="9"/>
        <w:rPr>
          <w:rFonts w:hint="eastAsia" w:ascii="仿宋_GB2312" w:hAnsi="仿宋_GB2312" w:eastAsia="仿宋_GB2312" w:cs="仿宋_GB2312"/>
          <w:b/>
          <w:color w:val="000000"/>
          <w:sz w:val="32"/>
          <w:szCs w:val="32"/>
        </w:rPr>
      </w:pPr>
    </w:p>
    <w:p>
      <w:pPr>
        <w:widowControl w:val="0"/>
        <w:wordWrap/>
        <w:snapToGrid w:val="0"/>
        <w:spacing w:line="240" w:lineRule="auto"/>
        <w:ind w:left="0" w:leftChars="0" w:right="0"/>
        <w:textAlignment w:val="auto"/>
        <w:outlineLvl w:val="9"/>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8 异议处理</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被抽样生产者对检验结论有异议的，应提出书面复检申请并阐明理由，向潮州市潮安区市场监督管理局提出，由潮州市潮安区市场监督管理局依法依规处理。</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配合监管部门对判定不合格产品进行异议处理时，按以下方式进行：</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8.1</w:t>
      </w:r>
      <w:r>
        <w:rPr>
          <w:rFonts w:hint="eastAsia" w:ascii="仿宋_GB2312" w:hAnsi="仿宋_GB2312" w:eastAsia="仿宋_GB2312" w:cs="仿宋_GB2312"/>
          <w:color w:val="000000"/>
          <w:sz w:val="32"/>
          <w:szCs w:val="32"/>
        </w:rPr>
        <w:t>核查不合格项目相关证据，能够以记录（纸质记录或电子记录或影像记录）或与不合格项目相关联的其它质量数据等检验证据证明。</w:t>
      </w:r>
    </w:p>
    <w:p>
      <w:pPr>
        <w:widowControl w:val="0"/>
        <w:wordWrap/>
        <w:snapToGrid w:val="0"/>
        <w:spacing w:line="240" w:lineRule="auto"/>
        <w:ind w:left="0" w:leftChars="0" w:right="0" w:firstLine="42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8.2</w:t>
      </w:r>
      <w:r>
        <w:rPr>
          <w:rFonts w:hint="eastAsia" w:ascii="仿宋_GB2312" w:hAnsi="仿宋_GB2312" w:eastAsia="仿宋_GB2312" w:cs="仿宋_GB2312"/>
          <w:color w:val="000000"/>
          <w:sz w:val="32"/>
          <w:szCs w:val="32"/>
        </w:rPr>
        <w:t>对需要复检并具备检验条件的，处理企业异议的市场监督管理部门或者指定检验机构应当按原抽查方案对备用样品组织复检，并出具检验报告。复检结论为最终结论。</w:t>
      </w:r>
    </w:p>
    <w:p>
      <w:pPr>
        <w:widowControl w:val="0"/>
        <w:wordWrap/>
        <w:snapToGrid w:val="0"/>
        <w:spacing w:line="240" w:lineRule="auto"/>
        <w:ind w:left="0" w:leftChars="0" w:right="0"/>
        <w:textAlignment w:val="auto"/>
        <w:outlineLvl w:val="9"/>
        <w:rPr>
          <w:rFonts w:hint="eastAsia" w:ascii="仿宋_GB2312" w:hAnsi="仿宋_GB2312" w:eastAsia="仿宋_GB2312" w:cs="仿宋_GB2312"/>
          <w:b/>
          <w:color w:val="000000"/>
          <w:sz w:val="32"/>
          <w:szCs w:val="32"/>
        </w:rPr>
      </w:pPr>
    </w:p>
    <w:p>
      <w:pPr>
        <w:widowControl w:val="0"/>
        <w:wordWrap/>
        <w:snapToGrid w:val="0"/>
        <w:spacing w:line="240" w:lineRule="auto"/>
        <w:ind w:left="0" w:leftChars="0" w:right="0"/>
        <w:textAlignment w:val="auto"/>
        <w:outlineLvl w:val="9"/>
        <w:rPr>
          <w:rFonts w:hint="eastAsia" w:ascii="仿宋_GB2312" w:hAnsi="仿宋_GB2312"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0000000000000000000"/>
    <w:charset w:val="86"/>
    <w:family w:val="auto"/>
    <w:pitch w:val="default"/>
    <w:sig w:usb0="00000000" w:usb1="38CF7CFA" w:usb2="00000016" w:usb3="00000000" w:csb0="0004000F"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auto"/>
    <w:pitch w:val="default"/>
    <w:sig w:usb0="00000001" w:usb1="080E0000" w:usb2="0000001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8105D"/>
    <w:rsid w:val="00007B14"/>
    <w:rsid w:val="00011116"/>
    <w:rsid w:val="00021731"/>
    <w:rsid w:val="000256D2"/>
    <w:rsid w:val="00037822"/>
    <w:rsid w:val="0007004D"/>
    <w:rsid w:val="00073B2D"/>
    <w:rsid w:val="0008174E"/>
    <w:rsid w:val="000903FE"/>
    <w:rsid w:val="000B2BA9"/>
    <w:rsid w:val="000C55B8"/>
    <w:rsid w:val="000D65D6"/>
    <w:rsid w:val="0011057A"/>
    <w:rsid w:val="00175687"/>
    <w:rsid w:val="001849A7"/>
    <w:rsid w:val="00195919"/>
    <w:rsid w:val="001B10A0"/>
    <w:rsid w:val="001B6963"/>
    <w:rsid w:val="001C3163"/>
    <w:rsid w:val="001C3D7C"/>
    <w:rsid w:val="001C5B62"/>
    <w:rsid w:val="001F68B3"/>
    <w:rsid w:val="00201DF6"/>
    <w:rsid w:val="0021096C"/>
    <w:rsid w:val="00212EFB"/>
    <w:rsid w:val="00213541"/>
    <w:rsid w:val="00235F4F"/>
    <w:rsid w:val="00246B17"/>
    <w:rsid w:val="00290DF5"/>
    <w:rsid w:val="002A6DEA"/>
    <w:rsid w:val="002C19C8"/>
    <w:rsid w:val="002C2FD4"/>
    <w:rsid w:val="002F7DA1"/>
    <w:rsid w:val="00302C71"/>
    <w:rsid w:val="00347D87"/>
    <w:rsid w:val="00355BAF"/>
    <w:rsid w:val="00373ED7"/>
    <w:rsid w:val="00382897"/>
    <w:rsid w:val="00397CE5"/>
    <w:rsid w:val="003A62D0"/>
    <w:rsid w:val="003B4CB8"/>
    <w:rsid w:val="003C5F11"/>
    <w:rsid w:val="003D3859"/>
    <w:rsid w:val="003F1021"/>
    <w:rsid w:val="00403B8D"/>
    <w:rsid w:val="0042012B"/>
    <w:rsid w:val="00423F1B"/>
    <w:rsid w:val="00432074"/>
    <w:rsid w:val="00442095"/>
    <w:rsid w:val="00455B26"/>
    <w:rsid w:val="00465F57"/>
    <w:rsid w:val="0047210F"/>
    <w:rsid w:val="0048389C"/>
    <w:rsid w:val="004A1FAE"/>
    <w:rsid w:val="004A30F8"/>
    <w:rsid w:val="004C46AB"/>
    <w:rsid w:val="004C61DF"/>
    <w:rsid w:val="004E690F"/>
    <w:rsid w:val="00514DCC"/>
    <w:rsid w:val="00582E4E"/>
    <w:rsid w:val="00583333"/>
    <w:rsid w:val="005A410B"/>
    <w:rsid w:val="005B0C37"/>
    <w:rsid w:val="005B3F82"/>
    <w:rsid w:val="005C2B9E"/>
    <w:rsid w:val="005D6498"/>
    <w:rsid w:val="005E5227"/>
    <w:rsid w:val="00613D9E"/>
    <w:rsid w:val="006175C0"/>
    <w:rsid w:val="00622039"/>
    <w:rsid w:val="00622484"/>
    <w:rsid w:val="00635E1F"/>
    <w:rsid w:val="00641157"/>
    <w:rsid w:val="006556EF"/>
    <w:rsid w:val="006570F9"/>
    <w:rsid w:val="00675E7A"/>
    <w:rsid w:val="0069061C"/>
    <w:rsid w:val="006C79EF"/>
    <w:rsid w:val="006E0C20"/>
    <w:rsid w:val="006E583A"/>
    <w:rsid w:val="007074AF"/>
    <w:rsid w:val="00747BBC"/>
    <w:rsid w:val="007C60DC"/>
    <w:rsid w:val="007E4968"/>
    <w:rsid w:val="007F5590"/>
    <w:rsid w:val="00812FC9"/>
    <w:rsid w:val="008222C6"/>
    <w:rsid w:val="008576F1"/>
    <w:rsid w:val="00863DB3"/>
    <w:rsid w:val="00882082"/>
    <w:rsid w:val="00882EB9"/>
    <w:rsid w:val="0088336C"/>
    <w:rsid w:val="00885101"/>
    <w:rsid w:val="008A4817"/>
    <w:rsid w:val="008E6B0E"/>
    <w:rsid w:val="008F291D"/>
    <w:rsid w:val="008F7D9E"/>
    <w:rsid w:val="0090055D"/>
    <w:rsid w:val="00935CFE"/>
    <w:rsid w:val="009402E5"/>
    <w:rsid w:val="009463E8"/>
    <w:rsid w:val="00957945"/>
    <w:rsid w:val="00961C61"/>
    <w:rsid w:val="009751B7"/>
    <w:rsid w:val="009968D8"/>
    <w:rsid w:val="009A0FC9"/>
    <w:rsid w:val="009B2311"/>
    <w:rsid w:val="009F1A73"/>
    <w:rsid w:val="00A131BA"/>
    <w:rsid w:val="00A15884"/>
    <w:rsid w:val="00A3233C"/>
    <w:rsid w:val="00A9108F"/>
    <w:rsid w:val="00AA1E55"/>
    <w:rsid w:val="00AB112B"/>
    <w:rsid w:val="00AE02FA"/>
    <w:rsid w:val="00B0682D"/>
    <w:rsid w:val="00B07479"/>
    <w:rsid w:val="00B13557"/>
    <w:rsid w:val="00B72EE4"/>
    <w:rsid w:val="00B8105D"/>
    <w:rsid w:val="00B877B4"/>
    <w:rsid w:val="00BA576C"/>
    <w:rsid w:val="00BB5231"/>
    <w:rsid w:val="00BB7330"/>
    <w:rsid w:val="00BC64B2"/>
    <w:rsid w:val="00BE0562"/>
    <w:rsid w:val="00C03805"/>
    <w:rsid w:val="00C350B0"/>
    <w:rsid w:val="00C50797"/>
    <w:rsid w:val="00CB068D"/>
    <w:rsid w:val="00CB2FC1"/>
    <w:rsid w:val="00CC0ABF"/>
    <w:rsid w:val="00CD039C"/>
    <w:rsid w:val="00CF6AFC"/>
    <w:rsid w:val="00D067C0"/>
    <w:rsid w:val="00D21451"/>
    <w:rsid w:val="00D5364D"/>
    <w:rsid w:val="00D57FA4"/>
    <w:rsid w:val="00D6354A"/>
    <w:rsid w:val="00D77750"/>
    <w:rsid w:val="00D80D73"/>
    <w:rsid w:val="00DA02A8"/>
    <w:rsid w:val="00DA3053"/>
    <w:rsid w:val="00DC29CB"/>
    <w:rsid w:val="00DD731E"/>
    <w:rsid w:val="00E013C4"/>
    <w:rsid w:val="00E06936"/>
    <w:rsid w:val="00E75A46"/>
    <w:rsid w:val="00E9082B"/>
    <w:rsid w:val="00EB0999"/>
    <w:rsid w:val="00EB137E"/>
    <w:rsid w:val="00EC0E0C"/>
    <w:rsid w:val="00EE13FB"/>
    <w:rsid w:val="00EF3B69"/>
    <w:rsid w:val="00F01308"/>
    <w:rsid w:val="00F43098"/>
    <w:rsid w:val="00F60257"/>
    <w:rsid w:val="00F6513F"/>
    <w:rsid w:val="00F71445"/>
    <w:rsid w:val="00F907D8"/>
    <w:rsid w:val="00FA6989"/>
    <w:rsid w:val="00FB4366"/>
    <w:rsid w:val="00FE34C6"/>
    <w:rsid w:val="00FF08D6"/>
    <w:rsid w:val="2E800CB2"/>
    <w:rsid w:val="48C920F7"/>
    <w:rsid w:val="61691E36"/>
    <w:rsid w:val="6D5A455C"/>
    <w:rsid w:val="6DD753C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Plain Text"/>
    <w:basedOn w:val="1"/>
    <w:link w:val="10"/>
    <w:uiPriority w:val="0"/>
    <w:rPr>
      <w:rFonts w:ascii="宋体" w:hAnsi="Courier New" w:cs="Courier New"/>
      <w:szCs w:val="21"/>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99"/>
    <w:pPr>
      <w:ind w:firstLine="420" w:firstLineChars="200"/>
    </w:pPr>
  </w:style>
  <w:style w:type="character" w:customStyle="1" w:styleId="8">
    <w:name w:val="页眉 Char"/>
    <w:link w:val="4"/>
    <w:uiPriority w:val="99"/>
    <w:rPr>
      <w:rFonts w:ascii="Calibri" w:hAnsi="Calibri" w:eastAsia="宋体" w:cs="Times New Roman"/>
      <w:sz w:val="18"/>
      <w:szCs w:val="18"/>
    </w:rPr>
  </w:style>
  <w:style w:type="character" w:customStyle="1" w:styleId="9">
    <w:name w:val="页脚 Char"/>
    <w:link w:val="3"/>
    <w:uiPriority w:val="99"/>
    <w:rPr>
      <w:rFonts w:ascii="Calibri" w:hAnsi="Calibri" w:eastAsia="宋体" w:cs="Times New Roman"/>
      <w:sz w:val="18"/>
      <w:szCs w:val="18"/>
    </w:rPr>
  </w:style>
  <w:style w:type="character" w:customStyle="1" w:styleId="10">
    <w:name w:val="纯文本 Char"/>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506</Words>
  <Characters>2886</Characters>
  <Lines>24</Lines>
  <Paragraphs>6</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2020-06-03T06:31:00Z</dcterms:created>
  <dc:creator>Windows 用户</dc:creator>
  <cp:lastModifiedBy>蔡林生</cp:lastModifiedBy>
  <dcterms:modified xsi:type="dcterms:W3CDTF">2020-06-05T01:39:40Z</dcterms:modified>
  <dc:title>2020年潮州市潮安区食品用陶瓷制品产品质量监督抽查实施细则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