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val="0"/>
        <w:spacing w:before="157" w:beforeLines="50" w:after="157" w:afterLines="50" w:line="240" w:lineRule="auto"/>
        <w:ind w:left="0" w:leftChars="0" w:right="0" w:firstLine="0" w:firstLineChars="0"/>
        <w:jc w:val="center"/>
        <w:textAlignment w:val="auto"/>
        <w:outlineLvl w:val="9"/>
        <w:rPr>
          <w:rFonts w:hint="eastAsia" w:ascii="仿宋_GB2312" w:hAnsi="仿宋" w:eastAsia="仿宋_GB2312" w:cs="方正仿宋简体"/>
          <w:b/>
          <w:color w:val="000000"/>
          <w:sz w:val="36"/>
          <w:szCs w:val="36"/>
        </w:rPr>
      </w:pPr>
      <w:r>
        <w:rPr>
          <w:rFonts w:hint="eastAsia" w:ascii="仿宋_GB2312" w:hAnsi="仿宋" w:eastAsia="仿宋_GB2312" w:cs="方正仿宋简体"/>
          <w:b/>
          <w:color w:val="000000"/>
          <w:sz w:val="36"/>
          <w:szCs w:val="36"/>
        </w:rPr>
        <w:t>2020年潮州市潮安区商用开水器产品质量</w:t>
      </w:r>
    </w:p>
    <w:p>
      <w:pPr>
        <w:widowControl w:val="0"/>
        <w:wordWrap/>
        <w:adjustRightInd/>
        <w:snapToGrid w:val="0"/>
        <w:spacing w:before="157" w:beforeLines="50" w:after="157" w:afterLines="50" w:line="240" w:lineRule="auto"/>
        <w:ind w:left="0" w:leftChars="0" w:right="0" w:firstLine="0" w:firstLineChars="0"/>
        <w:jc w:val="center"/>
        <w:textAlignment w:val="auto"/>
        <w:outlineLvl w:val="9"/>
        <w:rPr>
          <w:rFonts w:hint="eastAsia" w:ascii="仿宋_GB2312" w:hAnsi="仿宋" w:eastAsia="仿宋_GB2312" w:cs="方正仿宋简体"/>
          <w:b/>
          <w:color w:val="000000"/>
          <w:sz w:val="36"/>
          <w:szCs w:val="36"/>
        </w:rPr>
      </w:pPr>
      <w:r>
        <w:rPr>
          <w:rFonts w:hint="eastAsia" w:ascii="仿宋_GB2312" w:hAnsi="仿宋" w:eastAsia="仿宋_GB2312" w:cs="方正仿宋简体"/>
          <w:b/>
          <w:color w:val="000000"/>
          <w:sz w:val="36"/>
          <w:szCs w:val="36"/>
        </w:rPr>
        <w:t>监督抽查实施细则</w:t>
      </w:r>
    </w:p>
    <w:p>
      <w:pPr>
        <w:widowControl w:val="0"/>
        <w:wordWrap/>
        <w:adjustRightInd/>
        <w:snapToGrid w:val="0"/>
        <w:spacing w:before="157" w:beforeLines="50" w:after="157" w:afterLines="50" w:line="240" w:lineRule="auto"/>
        <w:ind w:left="0" w:leftChars="0" w:right="0" w:firstLine="0" w:firstLineChars="0"/>
        <w:jc w:val="center"/>
        <w:textAlignment w:val="auto"/>
        <w:outlineLvl w:val="9"/>
        <w:rPr>
          <w:rFonts w:hint="eastAsia" w:ascii="仿宋_GB2312" w:hAnsi="仿宋" w:eastAsia="仿宋_GB2312" w:cs="方正仿宋简体"/>
          <w:b/>
          <w:color w:val="000000"/>
          <w:sz w:val="36"/>
          <w:szCs w:val="36"/>
        </w:rPr>
      </w:pPr>
    </w:p>
    <w:p>
      <w:pPr>
        <w:widowControl w:val="0"/>
        <w:wordWrap/>
        <w:snapToGrid w:val="0"/>
        <w:spacing w:line="240" w:lineRule="auto"/>
        <w:outlineLvl w:val="9"/>
        <w:rPr>
          <w:rFonts w:ascii="黑体" w:hAnsi="宋体" w:eastAsia="仿宋_GB2312"/>
          <w:b/>
          <w:color w:val="000000"/>
          <w:sz w:val="32"/>
          <w:szCs w:val="32"/>
        </w:rPr>
      </w:pPr>
      <w:r>
        <w:rPr>
          <w:rFonts w:hint="eastAsia" w:ascii="黑体" w:hAnsi="宋体" w:eastAsia="仿宋_GB2312"/>
          <w:b/>
          <w:color w:val="000000"/>
          <w:sz w:val="32"/>
          <w:szCs w:val="32"/>
        </w:rPr>
        <w:t>1  范围</w:t>
      </w:r>
    </w:p>
    <w:p>
      <w:pPr>
        <w:widowControl w:val="0"/>
        <w:wordWrap/>
        <w:snapToGrid w:val="0"/>
        <w:spacing w:line="240" w:lineRule="auto"/>
        <w:ind w:firstLine="359" w:firstLineChars="171"/>
        <w:outlineLvl w:val="9"/>
        <w:rPr>
          <w:rFonts w:ascii="宋体" w:hAnsi="宋体" w:eastAsia="仿宋_GB2312"/>
          <w:color w:val="000000"/>
          <w:sz w:val="32"/>
          <w:szCs w:val="32"/>
        </w:rPr>
      </w:pPr>
      <w:r>
        <w:rPr>
          <w:rFonts w:hint="eastAsia" w:ascii="宋体" w:hAnsi="宋体" w:eastAsia="仿宋_GB2312"/>
          <w:color w:val="000000"/>
          <w:sz w:val="32"/>
          <w:szCs w:val="32"/>
        </w:rPr>
        <w:t>本细则适用于潮安区行政辖区内企业生产的商用开水器产品质量监督抽查。本细则内容包括产品分类、企业规模划分、检验依据、抽样、检验要求、判定原则、异议处理。</w:t>
      </w:r>
    </w:p>
    <w:p>
      <w:pPr>
        <w:widowControl w:val="0"/>
        <w:wordWrap/>
        <w:snapToGrid w:val="0"/>
        <w:spacing w:line="240" w:lineRule="auto"/>
        <w:outlineLvl w:val="9"/>
        <w:rPr>
          <w:rFonts w:ascii="黑体" w:hAnsi="黑体" w:eastAsia="仿宋_GB2312"/>
          <w:b/>
          <w:color w:val="000000"/>
          <w:sz w:val="32"/>
          <w:szCs w:val="32"/>
        </w:rPr>
      </w:pPr>
      <w:r>
        <w:rPr>
          <w:rFonts w:hint="eastAsia" w:ascii="黑体" w:hAnsi="黑体" w:eastAsia="仿宋_GB2312"/>
          <w:b/>
          <w:color w:val="000000"/>
          <w:sz w:val="32"/>
          <w:szCs w:val="32"/>
        </w:rPr>
        <w:t>2 产品分类</w:t>
      </w:r>
    </w:p>
    <w:p>
      <w:pPr>
        <w:widowControl w:val="0"/>
        <w:wordWrap/>
        <w:spacing w:line="240" w:lineRule="auto"/>
        <w:ind w:firstLine="420" w:firstLineChars="200"/>
        <w:outlineLvl w:val="9"/>
        <w:rPr>
          <w:rFonts w:ascii="宋体" w:hAnsi="宋体" w:eastAsia="仿宋_GB2312"/>
          <w:sz w:val="32"/>
          <w:szCs w:val="32"/>
        </w:rPr>
      </w:pPr>
      <w:r>
        <w:rPr>
          <w:rFonts w:hint="eastAsia" w:ascii="宋体" w:hAnsi="宋体" w:eastAsia="仿宋_GB2312"/>
          <w:color w:val="000000"/>
          <w:sz w:val="32"/>
          <w:szCs w:val="32"/>
        </w:rPr>
        <w:t>商用开水器</w:t>
      </w:r>
      <w:r>
        <w:rPr>
          <w:rFonts w:hint="eastAsia" w:eastAsia="仿宋_GB2312"/>
          <w:sz w:val="32"/>
          <w:szCs w:val="32"/>
        </w:rPr>
        <w:t>产品包括以下多种产品类型：连续式开水器、即热式开水器、贮存式开水器、普通式开水器、沸腾式开水器、步进式开水器。</w:t>
      </w:r>
    </w:p>
    <w:p>
      <w:pPr>
        <w:widowControl w:val="0"/>
        <w:wordWrap/>
        <w:snapToGrid w:val="0"/>
        <w:spacing w:line="240" w:lineRule="auto"/>
        <w:outlineLvl w:val="9"/>
        <w:rPr>
          <w:rFonts w:ascii="黑体" w:hAnsi="黑体" w:eastAsia="仿宋_GB2312"/>
          <w:b/>
          <w:sz w:val="32"/>
          <w:szCs w:val="32"/>
        </w:rPr>
      </w:pPr>
      <w:r>
        <w:rPr>
          <w:rFonts w:hint="eastAsia" w:ascii="黑体" w:hAnsi="黑体" w:eastAsia="仿宋_GB2312"/>
          <w:b/>
          <w:sz w:val="32"/>
          <w:szCs w:val="32"/>
        </w:rPr>
        <w:t>3  企业生产规模划分</w:t>
      </w:r>
    </w:p>
    <w:p>
      <w:pPr>
        <w:widowControl w:val="0"/>
        <w:wordWrap/>
        <w:snapToGrid w:val="0"/>
        <w:spacing w:line="240" w:lineRule="auto"/>
        <w:ind w:firstLine="420" w:firstLineChars="200"/>
        <w:outlineLvl w:val="9"/>
        <w:rPr>
          <w:rFonts w:ascii="宋体" w:hAnsi="宋体" w:eastAsia="仿宋_GB2312"/>
          <w:sz w:val="32"/>
          <w:szCs w:val="32"/>
        </w:rPr>
      </w:pPr>
      <w:r>
        <w:rPr>
          <w:rFonts w:hint="eastAsia" w:ascii="宋体" w:hAnsi="宋体" w:eastAsia="仿宋_GB2312"/>
          <w:sz w:val="32"/>
          <w:szCs w:val="32"/>
        </w:rPr>
        <w:t>按照国家统计局《统计上大中小微型企业划分办法》划分。见表2</w:t>
      </w:r>
    </w:p>
    <w:p>
      <w:pPr>
        <w:widowControl w:val="0"/>
        <w:wordWrap/>
        <w:snapToGrid w:val="0"/>
        <w:spacing w:line="240" w:lineRule="auto"/>
        <w:jc w:val="center"/>
        <w:outlineLvl w:val="9"/>
        <w:rPr>
          <w:rFonts w:ascii="宋体" w:hAnsi="宋体" w:eastAsia="仿宋_GB2312"/>
          <w:b/>
          <w:szCs w:val="21"/>
        </w:rPr>
      </w:pPr>
      <w:r>
        <w:rPr>
          <w:rFonts w:hint="eastAsia" w:ascii="宋体" w:hAnsi="宋体" w:eastAsia="仿宋_GB2312"/>
          <w:b/>
          <w:szCs w:val="21"/>
        </w:rPr>
        <w:t>表2企业生产规模划分方法</w:t>
      </w:r>
    </w:p>
    <w:tbl>
      <w:tblPr>
        <w:tblStyle w:val="7"/>
        <w:tblW w:w="8798"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34" w:type="dxa"/>
          <w:bottom w:w="0" w:type="dxa"/>
          <w:right w:w="34" w:type="dxa"/>
        </w:tblCellMar>
      </w:tblPr>
      <w:tblGrid>
        <w:gridCol w:w="1143"/>
        <w:gridCol w:w="1351"/>
        <w:gridCol w:w="700"/>
        <w:gridCol w:w="1110"/>
        <w:gridCol w:w="1802"/>
        <w:gridCol w:w="1619"/>
        <w:gridCol w:w="10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34" w:type="dxa"/>
            <w:bottom w:w="0" w:type="dxa"/>
            <w:right w:w="34" w:type="dxa"/>
          </w:tblCellMar>
        </w:tblPrEx>
        <w:trPr>
          <w:jc w:val="center"/>
        </w:trPr>
        <w:tc>
          <w:tcPr>
            <w:tcW w:w="114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行业名称</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指标名称</w:t>
            </w:r>
          </w:p>
        </w:tc>
        <w:tc>
          <w:tcPr>
            <w:tcW w:w="70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计量</w:t>
            </w:r>
          </w:p>
        </w:tc>
        <w:tc>
          <w:tcPr>
            <w:tcW w:w="111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大型</w:t>
            </w:r>
          </w:p>
        </w:tc>
        <w:tc>
          <w:tcPr>
            <w:tcW w:w="180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中型</w:t>
            </w:r>
          </w:p>
        </w:tc>
        <w:tc>
          <w:tcPr>
            <w:tcW w:w="1619"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小型</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微型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34" w:type="dxa"/>
            <w:bottom w:w="0" w:type="dxa"/>
            <w:right w:w="34" w:type="dxa"/>
          </w:tblCellMar>
        </w:tblPrEx>
        <w:trPr>
          <w:jc w:val="center"/>
        </w:trPr>
        <w:tc>
          <w:tcPr>
            <w:tcW w:w="1143" w:type="dxa"/>
            <w:vMerge w:val="restart"/>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工业</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从业人员(X)</w:t>
            </w:r>
          </w:p>
        </w:tc>
        <w:tc>
          <w:tcPr>
            <w:tcW w:w="70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w:t>
            </w:r>
          </w:p>
        </w:tc>
        <w:tc>
          <w:tcPr>
            <w:tcW w:w="111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X≥1000</w:t>
            </w:r>
          </w:p>
        </w:tc>
        <w:tc>
          <w:tcPr>
            <w:tcW w:w="180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300≤X＜1000</w:t>
            </w:r>
          </w:p>
        </w:tc>
        <w:tc>
          <w:tcPr>
            <w:tcW w:w="1619"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20≤X＜300</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X＜20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34" w:type="dxa"/>
            <w:bottom w:w="0" w:type="dxa"/>
            <w:right w:w="34" w:type="dxa"/>
          </w:tblCellMar>
        </w:tblPrEx>
        <w:trPr>
          <w:jc w:val="center"/>
        </w:trPr>
        <w:tc>
          <w:tcPr>
            <w:tcW w:w="1143" w:type="dxa"/>
            <w:vMerge w:val="continue"/>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1351"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营业收入(Y)</w:t>
            </w:r>
          </w:p>
        </w:tc>
        <w:tc>
          <w:tcPr>
            <w:tcW w:w="70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110"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Y≥40000</w:t>
            </w:r>
          </w:p>
        </w:tc>
        <w:tc>
          <w:tcPr>
            <w:tcW w:w="180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2000≤Y＜40000</w:t>
            </w:r>
          </w:p>
        </w:tc>
        <w:tc>
          <w:tcPr>
            <w:tcW w:w="1619"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300≤Y＜2000</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Y＜300</w:t>
            </w:r>
          </w:p>
        </w:tc>
      </w:tr>
    </w:tbl>
    <w:p>
      <w:pPr>
        <w:widowControl w:val="0"/>
        <w:wordWrap/>
        <w:snapToGrid w:val="0"/>
        <w:spacing w:beforeLines="30" w:afterLines="60" w:line="240" w:lineRule="auto"/>
        <w:ind w:firstLine="420" w:firstLineChars="200"/>
        <w:outlineLvl w:val="9"/>
        <w:rPr>
          <w:rFonts w:ascii="宋体" w:hAnsi="宋体" w:eastAsia="仿宋_GB2312"/>
          <w:sz w:val="24"/>
          <w:szCs w:val="24"/>
        </w:rPr>
      </w:pPr>
      <w:r>
        <w:rPr>
          <w:rFonts w:hint="eastAsia" w:ascii="仿宋_GB2312" w:hAnsi="仿宋_GB2312" w:eastAsia="仿宋_GB2312" w:cs="仿宋_GB2312"/>
          <w:sz w:val="24"/>
          <w:szCs w:val="24"/>
        </w:rPr>
        <w:t>注：大型、中型和小型企业须同时满足所列指标的下限，否则下划一档。</w:t>
      </w:r>
    </w:p>
    <w:p>
      <w:pPr>
        <w:widowControl w:val="0"/>
        <w:wordWrap/>
        <w:snapToGrid w:val="0"/>
        <w:spacing w:line="240" w:lineRule="auto"/>
        <w:outlineLvl w:val="9"/>
        <w:rPr>
          <w:rFonts w:ascii="黑体" w:hAnsi="黑体" w:eastAsia="仿宋_GB2312"/>
          <w:b/>
          <w:sz w:val="32"/>
          <w:szCs w:val="32"/>
        </w:rPr>
      </w:pPr>
      <w:r>
        <w:rPr>
          <w:rFonts w:hint="eastAsia" w:ascii="黑体" w:hAnsi="黑体" w:eastAsia="仿宋_GB2312"/>
          <w:b/>
          <w:sz w:val="32"/>
          <w:szCs w:val="32"/>
        </w:rPr>
        <w:t>4  检验依据</w:t>
      </w:r>
    </w:p>
    <w:p>
      <w:pPr>
        <w:widowControl w:val="0"/>
        <w:wordWrap/>
        <w:spacing w:line="240" w:lineRule="auto"/>
        <w:ind w:firstLine="420" w:firstLineChars="200"/>
        <w:outlineLvl w:val="9"/>
        <w:rPr>
          <w:rFonts w:eastAsia="仿宋_GB2312"/>
          <w:sz w:val="32"/>
          <w:szCs w:val="32"/>
        </w:rPr>
      </w:pPr>
      <w:r>
        <w:rPr>
          <w:rFonts w:hint="eastAsia" w:eastAsia="仿宋_GB2312"/>
          <w:sz w:val="32"/>
          <w:szCs w:val="32"/>
        </w:rPr>
        <w:t>凡是注日期的文件，其随后所有的修改单（不包括勘误的内容）或修订版不适用于本方案。凡是不注日期的文件，其最新版本适用于本方案。</w:t>
      </w:r>
    </w:p>
    <w:p>
      <w:pPr>
        <w:widowControl w:val="0"/>
        <w:wordWrap/>
        <w:spacing w:line="240" w:lineRule="auto"/>
        <w:ind w:firstLine="420" w:firstLineChars="200"/>
        <w:outlineLvl w:val="9"/>
        <w:rPr>
          <w:rFonts w:ascii="宋体" w:hAnsi="宋体" w:eastAsia="仿宋_GB2312"/>
          <w:sz w:val="32"/>
          <w:szCs w:val="32"/>
        </w:rPr>
      </w:pPr>
      <w:r>
        <w:rPr>
          <w:rFonts w:hint="eastAsia" w:ascii="宋体" w:hAnsi="宋体" w:eastAsia="仿宋_GB2312"/>
          <w:sz w:val="32"/>
          <w:szCs w:val="32"/>
        </w:rPr>
        <w:t>GB4706.1-2005  家用和类似用途电器的安全第1部分:通用要求</w:t>
      </w:r>
    </w:p>
    <w:p>
      <w:pPr>
        <w:widowControl w:val="0"/>
        <w:wordWrap/>
        <w:spacing w:line="240" w:lineRule="auto"/>
        <w:ind w:firstLine="420" w:firstLineChars="200"/>
        <w:outlineLvl w:val="9"/>
        <w:rPr>
          <w:rFonts w:ascii="宋体" w:hAnsi="宋体" w:eastAsia="仿宋_GB2312"/>
          <w:sz w:val="32"/>
          <w:szCs w:val="32"/>
        </w:rPr>
      </w:pPr>
      <w:r>
        <w:rPr>
          <w:rFonts w:hint="eastAsia" w:ascii="宋体" w:hAnsi="宋体" w:eastAsia="仿宋_GB2312"/>
          <w:sz w:val="32"/>
          <w:szCs w:val="32"/>
        </w:rPr>
        <w:t>GB4706.36-2014  家用和类似用途电器的安全 商用电开水器和液体加热器的特殊要求</w:t>
      </w:r>
    </w:p>
    <w:p>
      <w:pPr>
        <w:widowControl w:val="0"/>
        <w:wordWrap/>
        <w:adjustRightInd/>
        <w:spacing w:line="240" w:lineRule="auto"/>
        <w:ind w:left="0" w:leftChars="0" w:right="0" w:firstLine="640" w:firstLineChars="200"/>
        <w:jc w:val="both"/>
        <w:textAlignment w:val="auto"/>
        <w:outlineLvl w:val="9"/>
        <w:rPr>
          <w:rFonts w:ascii="宋体" w:hAnsi="宋体" w:eastAsia="仿宋_GB2312"/>
          <w:sz w:val="32"/>
          <w:szCs w:val="32"/>
        </w:rPr>
      </w:pPr>
      <w:r>
        <w:rPr>
          <w:rFonts w:ascii="宋体" w:hAnsi="宋体" w:eastAsia="仿宋_GB2312"/>
          <w:sz w:val="32"/>
          <w:szCs w:val="32"/>
        </w:rPr>
        <w:t>GB 4806.9-2016</w:t>
      </w:r>
      <w:r>
        <w:rPr>
          <w:rFonts w:hint="eastAsia" w:ascii="宋体" w:hAnsi="宋体" w:eastAsia="仿宋_GB2312"/>
          <w:sz w:val="32"/>
          <w:szCs w:val="32"/>
        </w:rPr>
        <w:t xml:space="preserve">  食品安全国家标准</w:t>
      </w:r>
      <w:r>
        <w:rPr>
          <w:rFonts w:ascii="宋体" w:hAnsi="宋体" w:eastAsia="仿宋_GB2312"/>
          <w:sz w:val="32"/>
          <w:szCs w:val="32"/>
        </w:rPr>
        <w:t xml:space="preserve">  </w:t>
      </w:r>
      <w:r>
        <w:rPr>
          <w:rFonts w:hint="eastAsia" w:ascii="宋体" w:hAnsi="宋体" w:eastAsia="仿宋_GB2312"/>
          <w:sz w:val="32"/>
          <w:szCs w:val="32"/>
        </w:rPr>
        <w:t>食品接触用金属材料及制品</w:t>
      </w:r>
    </w:p>
    <w:p>
      <w:pPr>
        <w:widowControl w:val="0"/>
        <w:wordWrap/>
        <w:adjustRightInd/>
        <w:spacing w:line="240" w:lineRule="auto"/>
        <w:ind w:left="0" w:leftChars="0" w:right="0" w:firstLine="640" w:firstLineChars="200"/>
        <w:jc w:val="both"/>
        <w:textAlignment w:val="auto"/>
        <w:outlineLvl w:val="9"/>
        <w:rPr>
          <w:rFonts w:ascii="宋体" w:hAnsi="宋体" w:eastAsia="仿宋_GB2312"/>
          <w:sz w:val="32"/>
          <w:szCs w:val="32"/>
        </w:rPr>
      </w:pPr>
      <w:r>
        <w:rPr>
          <w:rFonts w:hint="eastAsia" w:ascii="宋体" w:hAnsi="宋体" w:eastAsia="仿宋_GB2312"/>
          <w:sz w:val="32"/>
          <w:szCs w:val="32"/>
        </w:rPr>
        <w:t>T/GDAQI 020—2020产品质量监督抽查抽样检验技术服务规范</w:t>
      </w:r>
    </w:p>
    <w:p>
      <w:pPr>
        <w:widowControl w:val="0"/>
        <w:wordWrap/>
        <w:adjustRightInd/>
        <w:spacing w:line="240" w:lineRule="auto"/>
        <w:ind w:left="0" w:leftChars="0" w:right="0" w:firstLine="640" w:firstLineChars="200"/>
        <w:jc w:val="both"/>
        <w:textAlignment w:val="auto"/>
        <w:outlineLvl w:val="9"/>
        <w:rPr>
          <w:rFonts w:eastAsia="仿宋_GB2312"/>
          <w:sz w:val="32"/>
          <w:szCs w:val="32"/>
        </w:rPr>
      </w:pPr>
      <w:r>
        <w:rPr>
          <w:rFonts w:hint="eastAsia" w:eastAsia="仿宋_GB2312"/>
          <w:sz w:val="32"/>
          <w:szCs w:val="32"/>
        </w:rPr>
        <w:t>相关的法律法规、部门规章和规范</w:t>
      </w:r>
    </w:p>
    <w:p>
      <w:pPr>
        <w:widowControl w:val="0"/>
        <w:wordWrap/>
        <w:adjustRightInd/>
        <w:snapToGrid w:val="0"/>
        <w:spacing w:line="240" w:lineRule="auto"/>
        <w:ind w:left="0" w:leftChars="0" w:right="0" w:firstLine="640" w:firstLineChars="200"/>
        <w:jc w:val="both"/>
        <w:textAlignment w:val="auto"/>
        <w:outlineLvl w:val="9"/>
        <w:rPr>
          <w:rFonts w:ascii="宋体" w:hAnsi="宋体" w:eastAsia="仿宋_GB2312"/>
          <w:sz w:val="32"/>
          <w:szCs w:val="32"/>
        </w:rPr>
      </w:pPr>
      <w:r>
        <w:rPr>
          <w:rFonts w:hint="eastAsia" w:eastAsia="仿宋_GB2312"/>
          <w:sz w:val="32"/>
          <w:szCs w:val="32"/>
        </w:rPr>
        <w:t>现行有效的企业标准及产品明示质量要求</w:t>
      </w:r>
    </w:p>
    <w:p>
      <w:pPr>
        <w:widowControl w:val="0"/>
        <w:wordWrap/>
        <w:snapToGrid w:val="0"/>
        <w:spacing w:line="240" w:lineRule="auto"/>
        <w:outlineLvl w:val="9"/>
        <w:rPr>
          <w:rFonts w:ascii="黑体" w:hAnsi="黑体" w:eastAsia="仿宋_GB2312"/>
          <w:b/>
          <w:sz w:val="32"/>
          <w:szCs w:val="32"/>
        </w:rPr>
      </w:pPr>
      <w:r>
        <w:rPr>
          <w:rFonts w:hint="eastAsia" w:ascii="黑体" w:hAnsi="黑体" w:eastAsia="仿宋_GB2312"/>
          <w:b/>
          <w:sz w:val="32"/>
          <w:szCs w:val="32"/>
        </w:rPr>
        <w:t>5  抽样</w:t>
      </w:r>
    </w:p>
    <w:p>
      <w:pPr>
        <w:widowControl w:val="0"/>
        <w:wordWrap/>
        <w:adjustRightInd/>
        <w:snapToGrid w:val="0"/>
        <w:spacing w:line="240" w:lineRule="auto"/>
        <w:ind w:left="0" w:leftChars="0" w:right="0"/>
        <w:jc w:val="both"/>
        <w:textAlignment w:val="auto"/>
        <w:outlineLvl w:val="9"/>
        <w:rPr>
          <w:rFonts w:ascii="宋体" w:hAnsi="宋体" w:eastAsia="仿宋_GB2312"/>
          <w:sz w:val="32"/>
          <w:szCs w:val="32"/>
        </w:rPr>
      </w:pPr>
      <w:r>
        <w:rPr>
          <w:rFonts w:hint="eastAsia" w:ascii="宋体" w:hAnsi="宋体" w:eastAsia="仿宋_GB2312"/>
          <w:sz w:val="32"/>
          <w:szCs w:val="32"/>
        </w:rPr>
        <w:t>5.1 抽样型号或规格</w:t>
      </w:r>
    </w:p>
    <w:p>
      <w:pPr>
        <w:widowControl w:val="0"/>
        <w:wordWrap/>
        <w:adjustRightInd/>
        <w:snapToGrid w:val="0"/>
        <w:spacing w:line="240" w:lineRule="auto"/>
        <w:ind w:left="0" w:leftChars="0" w:right="0" w:firstLine="420" w:firstLineChars="200"/>
        <w:jc w:val="both"/>
        <w:textAlignment w:val="auto"/>
        <w:outlineLvl w:val="9"/>
        <w:rPr>
          <w:rFonts w:ascii="宋体" w:hAnsi="宋体" w:eastAsia="仿宋_GB2312"/>
          <w:sz w:val="32"/>
          <w:szCs w:val="32"/>
        </w:rPr>
      </w:pPr>
      <w:r>
        <w:rPr>
          <w:rFonts w:hint="eastAsia" w:ascii="宋体" w:hAnsi="宋体" w:eastAsia="仿宋_GB2312"/>
          <w:sz w:val="32"/>
          <w:szCs w:val="32"/>
        </w:rPr>
        <w:t>抽取样品</w:t>
      </w:r>
      <w:r>
        <w:rPr>
          <w:rFonts w:ascii="宋体" w:hAnsi="宋体" w:eastAsia="仿宋_GB2312"/>
          <w:sz w:val="32"/>
          <w:szCs w:val="32"/>
        </w:rPr>
        <w:t>应为</w:t>
      </w:r>
      <w:r>
        <w:rPr>
          <w:rFonts w:hint="eastAsia" w:ascii="宋体" w:hAnsi="宋体" w:eastAsia="仿宋_GB2312"/>
          <w:sz w:val="32"/>
          <w:szCs w:val="32"/>
        </w:rPr>
        <w:t>同一标准、</w:t>
      </w:r>
      <w:r>
        <w:rPr>
          <w:rFonts w:ascii="宋体" w:hAnsi="宋体" w:eastAsia="仿宋_GB2312"/>
          <w:sz w:val="32"/>
          <w:szCs w:val="32"/>
        </w:rPr>
        <w:t>同一型号</w:t>
      </w:r>
      <w:r>
        <w:rPr>
          <w:rFonts w:hint="eastAsia" w:ascii="宋体" w:hAnsi="宋体" w:eastAsia="仿宋_GB2312"/>
          <w:sz w:val="32"/>
          <w:szCs w:val="32"/>
        </w:rPr>
        <w:t>（</w:t>
      </w:r>
      <w:r>
        <w:rPr>
          <w:rFonts w:ascii="宋体" w:hAnsi="宋体" w:eastAsia="仿宋_GB2312"/>
          <w:sz w:val="32"/>
          <w:szCs w:val="32"/>
        </w:rPr>
        <w:t>规格</w:t>
      </w:r>
      <w:bookmarkStart w:id="0" w:name="_GoBack"/>
      <w:bookmarkEnd w:id="0"/>
      <w:r>
        <w:rPr>
          <w:rFonts w:hint="eastAsia" w:ascii="宋体" w:hAnsi="宋体" w:eastAsia="仿宋_GB2312"/>
          <w:sz w:val="32"/>
          <w:szCs w:val="32"/>
        </w:rPr>
        <w:t>）</w:t>
      </w:r>
      <w:r>
        <w:rPr>
          <w:rFonts w:ascii="宋体" w:hAnsi="宋体" w:eastAsia="仿宋_GB2312"/>
          <w:sz w:val="32"/>
          <w:szCs w:val="32"/>
        </w:rPr>
        <w:t>的产品。</w:t>
      </w:r>
    </w:p>
    <w:p>
      <w:pPr>
        <w:widowControl w:val="0"/>
        <w:wordWrap/>
        <w:adjustRightInd/>
        <w:snapToGrid w:val="0"/>
        <w:spacing w:line="240" w:lineRule="auto"/>
        <w:ind w:left="0" w:leftChars="0" w:right="0"/>
        <w:jc w:val="both"/>
        <w:textAlignment w:val="auto"/>
        <w:outlineLvl w:val="9"/>
        <w:rPr>
          <w:rFonts w:ascii="宋体" w:hAnsi="宋体" w:eastAsia="仿宋_GB2312"/>
          <w:sz w:val="32"/>
          <w:szCs w:val="32"/>
        </w:rPr>
      </w:pPr>
      <w:r>
        <w:rPr>
          <w:rFonts w:hint="eastAsia" w:ascii="宋体" w:hAnsi="宋体" w:eastAsia="仿宋_GB2312"/>
          <w:sz w:val="32"/>
          <w:szCs w:val="32"/>
        </w:rPr>
        <w:t>5.2抽样方法、基数及数量</w:t>
      </w:r>
    </w:p>
    <w:p>
      <w:pPr>
        <w:widowControl w:val="0"/>
        <w:wordWrap/>
        <w:adjustRightInd/>
        <w:snapToGrid w:val="0"/>
        <w:spacing w:line="240" w:lineRule="auto"/>
        <w:ind w:left="0" w:leftChars="0" w:right="0" w:firstLine="424" w:firstLineChars="202"/>
        <w:jc w:val="both"/>
        <w:textAlignment w:val="auto"/>
        <w:outlineLvl w:val="9"/>
        <w:rPr>
          <w:rFonts w:ascii="宋体" w:hAnsi="宋体" w:eastAsia="仿宋_GB2312"/>
          <w:sz w:val="32"/>
          <w:szCs w:val="32"/>
        </w:rPr>
      </w:pPr>
      <w:r>
        <w:rPr>
          <w:rFonts w:hint="eastAsia" w:ascii="宋体" w:hAnsi="宋体" w:eastAsia="仿宋_GB2312"/>
          <w:sz w:val="32"/>
          <w:szCs w:val="32"/>
        </w:rPr>
        <w:t>在企业的成品库内随机抽取有产品质量检验合格证明或者以其他形式表明合格的、近期生产的产品。</w:t>
      </w:r>
    </w:p>
    <w:p>
      <w:pPr>
        <w:widowControl w:val="0"/>
        <w:wordWrap/>
        <w:adjustRightInd/>
        <w:snapToGrid w:val="0"/>
        <w:spacing w:line="240" w:lineRule="auto"/>
        <w:ind w:left="0" w:leftChars="0" w:right="0" w:firstLine="424" w:firstLineChars="202"/>
        <w:jc w:val="both"/>
        <w:textAlignment w:val="auto"/>
        <w:outlineLvl w:val="9"/>
        <w:rPr>
          <w:rFonts w:ascii="宋体" w:hAnsi="宋体" w:eastAsia="仿宋_GB2312"/>
          <w:sz w:val="32"/>
          <w:szCs w:val="32"/>
        </w:rPr>
      </w:pPr>
      <w:r>
        <w:rPr>
          <w:rFonts w:hint="eastAsia" w:ascii="宋体" w:hAnsi="宋体" w:eastAsia="仿宋_GB2312"/>
          <w:sz w:val="32"/>
          <w:szCs w:val="32"/>
        </w:rPr>
        <w:t>抽查样品基数满足抽样数量即可。</w:t>
      </w:r>
    </w:p>
    <w:p>
      <w:pPr>
        <w:widowControl w:val="0"/>
        <w:wordWrap/>
        <w:adjustRightInd/>
        <w:snapToGrid w:val="0"/>
        <w:spacing w:line="240" w:lineRule="auto"/>
        <w:ind w:left="0" w:leftChars="0" w:right="0" w:firstLine="424" w:firstLineChars="202"/>
        <w:jc w:val="both"/>
        <w:textAlignment w:val="auto"/>
        <w:outlineLvl w:val="9"/>
        <w:rPr>
          <w:rFonts w:ascii="宋体" w:hAnsi="宋体" w:eastAsia="仿宋_GB2312"/>
          <w:sz w:val="32"/>
          <w:szCs w:val="32"/>
        </w:rPr>
      </w:pPr>
      <w:r>
        <w:rPr>
          <w:rFonts w:hint="eastAsia" w:ascii="宋体" w:hAnsi="宋体" w:eastAsia="仿宋_GB2312"/>
          <w:sz w:val="32"/>
          <w:szCs w:val="32"/>
        </w:rPr>
        <w:t>每批次产品抽取样品4台，其中3台作为检验样品，1台作为备用样品。</w:t>
      </w:r>
    </w:p>
    <w:p>
      <w:pPr>
        <w:widowControl w:val="0"/>
        <w:wordWrap/>
        <w:adjustRightInd/>
        <w:snapToGrid w:val="0"/>
        <w:spacing w:line="240" w:lineRule="auto"/>
        <w:ind w:left="0" w:leftChars="0" w:right="0" w:firstLine="420" w:firstLineChars="200"/>
        <w:jc w:val="both"/>
        <w:textAlignment w:val="auto"/>
        <w:outlineLvl w:val="9"/>
        <w:rPr>
          <w:rFonts w:ascii="宋体" w:hAnsi="宋体" w:eastAsia="仿宋_GB2312"/>
          <w:sz w:val="32"/>
          <w:szCs w:val="32"/>
        </w:rPr>
      </w:pPr>
      <w:r>
        <w:rPr>
          <w:rFonts w:hint="eastAsia" w:ascii="宋体" w:hAnsi="宋体" w:eastAsia="仿宋_GB2312"/>
          <w:sz w:val="32"/>
          <w:szCs w:val="32"/>
        </w:rPr>
        <w:t>随机数按标准TGDAQI 020—2020附录E中E</w:t>
      </w:r>
      <w:r>
        <w:rPr>
          <w:rFonts w:ascii="宋体" w:hAnsi="宋体" w:eastAsia="仿宋_GB2312"/>
          <w:sz w:val="32"/>
          <w:szCs w:val="32"/>
        </w:rPr>
        <w:t>.1.1使用随机数表，骰子或扑克牌等方法产生。</w:t>
      </w:r>
    </w:p>
    <w:p>
      <w:pPr>
        <w:widowControl w:val="0"/>
        <w:wordWrap/>
        <w:adjustRightInd/>
        <w:snapToGrid w:val="0"/>
        <w:spacing w:line="240" w:lineRule="auto"/>
        <w:ind w:left="0" w:leftChars="0" w:right="0" w:firstLine="420" w:firstLineChars="200"/>
        <w:jc w:val="both"/>
        <w:textAlignment w:val="auto"/>
        <w:outlineLvl w:val="9"/>
        <w:rPr>
          <w:rFonts w:ascii="宋体" w:hAnsi="宋体" w:eastAsia="仿宋_GB2312"/>
          <w:sz w:val="32"/>
          <w:szCs w:val="32"/>
        </w:rPr>
      </w:pPr>
      <w:r>
        <w:rPr>
          <w:rFonts w:hint="eastAsia" w:ascii="宋体" w:hAnsi="宋体" w:eastAsia="仿宋_GB2312"/>
          <w:sz w:val="32"/>
          <w:szCs w:val="32"/>
        </w:rPr>
        <w:t>5.3样品处置</w:t>
      </w:r>
    </w:p>
    <w:p>
      <w:pPr>
        <w:widowControl w:val="0"/>
        <w:wordWrap/>
        <w:adjustRightInd/>
        <w:snapToGrid w:val="0"/>
        <w:spacing w:line="240" w:lineRule="auto"/>
        <w:ind w:left="0" w:leftChars="0" w:right="0" w:firstLine="420" w:firstLineChars="200"/>
        <w:jc w:val="both"/>
        <w:textAlignment w:val="auto"/>
        <w:outlineLvl w:val="9"/>
        <w:rPr>
          <w:rFonts w:ascii="宋体" w:hAnsi="宋体" w:eastAsia="仿宋_GB2312"/>
          <w:sz w:val="32"/>
          <w:szCs w:val="32"/>
        </w:rPr>
      </w:pPr>
      <w:r>
        <w:rPr>
          <w:rFonts w:ascii="宋体" w:hAnsi="宋体" w:eastAsia="仿宋_GB2312"/>
          <w:sz w:val="32"/>
          <w:szCs w:val="32"/>
        </w:rPr>
        <w:t>5.3.1</w:t>
      </w:r>
      <w:r>
        <w:rPr>
          <w:rFonts w:hint="eastAsia" w:ascii="宋体" w:hAnsi="宋体" w:eastAsia="仿宋_GB2312"/>
          <w:sz w:val="32"/>
          <w:szCs w:val="32"/>
        </w:rPr>
        <w:t>检验样品和备用样品应分别签封，并寄、送至指定的检验机构。样品应采用防撞击、防潮包装、寄送样品时应防止刚烈碰撞而损坏样品，同时应有相应影像记录。</w:t>
      </w:r>
    </w:p>
    <w:p>
      <w:pPr>
        <w:widowControl w:val="0"/>
        <w:wordWrap/>
        <w:adjustRightInd/>
        <w:snapToGrid w:val="0"/>
        <w:spacing w:line="240" w:lineRule="auto"/>
        <w:ind w:left="0" w:leftChars="0" w:right="0" w:firstLine="420" w:firstLineChars="200"/>
        <w:jc w:val="both"/>
        <w:textAlignment w:val="auto"/>
        <w:outlineLvl w:val="9"/>
        <w:rPr>
          <w:rFonts w:ascii="宋体" w:hAnsi="宋体" w:eastAsia="仿宋_GB2312"/>
          <w:sz w:val="32"/>
          <w:szCs w:val="32"/>
        </w:rPr>
      </w:pPr>
      <w:r>
        <w:rPr>
          <w:rFonts w:ascii="宋体" w:hAnsi="宋体" w:eastAsia="仿宋_GB2312"/>
          <w:sz w:val="32"/>
          <w:szCs w:val="32"/>
        </w:rPr>
        <w:t>5.3.2</w:t>
      </w:r>
      <w:r>
        <w:rPr>
          <w:rFonts w:hint="eastAsia" w:ascii="宋体" w:hAnsi="宋体" w:eastAsia="仿宋_GB2312"/>
          <w:sz w:val="32"/>
          <w:szCs w:val="32"/>
        </w:rPr>
        <w:t>备样封存于检验机构。</w:t>
      </w:r>
    </w:p>
    <w:p>
      <w:pPr>
        <w:widowControl w:val="0"/>
        <w:wordWrap/>
        <w:adjustRightInd/>
        <w:snapToGrid w:val="0"/>
        <w:spacing w:line="240" w:lineRule="auto"/>
        <w:ind w:left="0" w:leftChars="0" w:right="0" w:firstLine="420" w:firstLineChars="200"/>
        <w:jc w:val="both"/>
        <w:textAlignment w:val="auto"/>
        <w:outlineLvl w:val="9"/>
        <w:rPr>
          <w:rFonts w:ascii="宋体" w:hAnsi="宋体" w:eastAsia="仿宋_GB2312"/>
          <w:sz w:val="32"/>
          <w:szCs w:val="32"/>
        </w:rPr>
      </w:pPr>
      <w:r>
        <w:rPr>
          <w:rFonts w:hint="eastAsia" w:ascii="宋体" w:hAnsi="宋体" w:eastAsia="仿宋_GB2312"/>
          <w:sz w:val="32"/>
          <w:szCs w:val="32"/>
        </w:rPr>
        <w:t>5.4抽样单</w:t>
      </w:r>
    </w:p>
    <w:p>
      <w:pPr>
        <w:widowControl w:val="0"/>
        <w:wordWrap/>
        <w:adjustRightInd/>
        <w:snapToGrid w:val="0"/>
        <w:spacing w:line="240" w:lineRule="auto"/>
        <w:ind w:left="0" w:leftChars="0" w:right="0" w:firstLine="420" w:firstLineChars="200"/>
        <w:jc w:val="both"/>
        <w:textAlignment w:val="auto"/>
        <w:outlineLvl w:val="9"/>
        <w:rPr>
          <w:rFonts w:ascii="宋体" w:hAnsi="宋体" w:eastAsia="仿宋_GB2312"/>
          <w:sz w:val="32"/>
          <w:szCs w:val="32"/>
        </w:rPr>
      </w:pPr>
      <w:r>
        <w:rPr>
          <w:rFonts w:hint="eastAsia" w:ascii="宋体" w:hAnsi="宋体" w:eastAsia="仿宋_GB2312"/>
          <w:sz w:val="32"/>
          <w:szCs w:val="32"/>
        </w:rPr>
        <w:t>5.4.1抽样单上产品名称应按照产品标识、铭牌、说明书、合格证等标注信息填写。若无产品标识、铭牌、说明书、合格证，或未标注产品名称的，可根据企业提供的产品信息填写，需在备注栏中注明“产品信息由企业提供”，并由企业签字确认。若标注的产品名称无法反映其真实属性，或使用俗名、简称时，应同时注明产品的“标识名称”和“标准名称”，或在备注栏中注明产品的“标准名称”；检验报告上的“产品名称”参照本条规定填写。若产品上未标注本次质量监督抽查检测标准时，可以根据企业实际生产情况在备注栏中注明相关执行标准并由企业确认。</w:t>
      </w:r>
    </w:p>
    <w:p>
      <w:pPr>
        <w:widowControl w:val="0"/>
        <w:wordWrap/>
        <w:snapToGrid w:val="0"/>
        <w:spacing w:line="240" w:lineRule="auto"/>
        <w:ind w:firstLine="420" w:firstLineChars="200"/>
        <w:outlineLvl w:val="9"/>
        <w:rPr>
          <w:rFonts w:ascii="宋体" w:hAnsi="宋体" w:eastAsia="仿宋_GB2312"/>
          <w:sz w:val="32"/>
          <w:szCs w:val="32"/>
        </w:rPr>
      </w:pPr>
      <w:r>
        <w:rPr>
          <w:rFonts w:hint="eastAsia" w:ascii="宋体" w:hAnsi="宋体" w:eastAsia="仿宋_GB2312"/>
          <w:sz w:val="32"/>
          <w:szCs w:val="32"/>
        </w:rPr>
        <w:t>5.4.2产品检验所需的信息</w:t>
      </w:r>
    </w:p>
    <w:p>
      <w:pPr>
        <w:widowControl w:val="0"/>
        <w:wordWrap/>
        <w:snapToGrid w:val="0"/>
        <w:spacing w:line="240" w:lineRule="auto"/>
        <w:ind w:firstLine="420" w:firstLineChars="200"/>
        <w:outlineLvl w:val="9"/>
        <w:rPr>
          <w:rFonts w:ascii="宋体" w:hAnsi="宋体" w:eastAsia="仿宋_GB2312"/>
          <w:sz w:val="32"/>
          <w:szCs w:val="32"/>
        </w:rPr>
      </w:pPr>
      <w:r>
        <w:rPr>
          <w:rFonts w:hint="eastAsia" w:ascii="宋体" w:hAnsi="宋体" w:eastAsia="仿宋_GB2312"/>
          <w:sz w:val="32"/>
          <w:szCs w:val="32"/>
        </w:rPr>
        <w:t>5.4.2.1对于产品检验所需的样品技术参数，需填写额定功率。需要受检单位提供的，应在抽样现场获取，并经受检单位确认。</w:t>
      </w:r>
    </w:p>
    <w:p>
      <w:pPr>
        <w:widowControl w:val="0"/>
        <w:wordWrap/>
        <w:snapToGrid w:val="0"/>
        <w:spacing w:line="240" w:lineRule="auto"/>
        <w:ind w:firstLine="420" w:firstLineChars="200"/>
        <w:outlineLvl w:val="9"/>
        <w:rPr>
          <w:rFonts w:ascii="宋体" w:hAnsi="宋体" w:eastAsia="仿宋_GB2312"/>
          <w:sz w:val="32"/>
          <w:szCs w:val="32"/>
        </w:rPr>
      </w:pPr>
      <w:r>
        <w:rPr>
          <w:rFonts w:hint="eastAsia" w:ascii="宋体" w:hAnsi="宋体" w:eastAsia="仿宋_GB2312"/>
          <w:sz w:val="32"/>
          <w:szCs w:val="32"/>
        </w:rPr>
        <w:t>5.4.2.2产品或外包装上标注产品执行企业标准时，应填写在抽样单相应栏，并要求企业提供企业标准文本复印件（加盖企业公章），随样品送承检机构。</w:t>
      </w:r>
    </w:p>
    <w:p>
      <w:pPr>
        <w:widowControl w:val="0"/>
        <w:wordWrap/>
        <w:snapToGrid w:val="0"/>
        <w:spacing w:line="240" w:lineRule="auto"/>
        <w:outlineLvl w:val="9"/>
        <w:rPr>
          <w:rFonts w:ascii="黑体" w:hAnsi="黑体" w:eastAsia="仿宋_GB2312"/>
          <w:b/>
          <w:sz w:val="32"/>
          <w:szCs w:val="32"/>
        </w:rPr>
      </w:pPr>
      <w:r>
        <w:rPr>
          <w:rFonts w:hint="eastAsia" w:ascii="黑体" w:hAnsi="黑体" w:eastAsia="仿宋_GB2312"/>
          <w:b/>
          <w:sz w:val="32"/>
          <w:szCs w:val="32"/>
        </w:rPr>
        <w:t>6 检验要求</w:t>
      </w:r>
    </w:p>
    <w:p>
      <w:pPr>
        <w:widowControl w:val="0"/>
        <w:wordWrap/>
        <w:snapToGrid w:val="0"/>
        <w:spacing w:line="240" w:lineRule="auto"/>
        <w:outlineLvl w:val="9"/>
        <w:rPr>
          <w:rFonts w:ascii="宋体" w:hAnsi="宋体" w:eastAsia="仿宋_GB2312"/>
          <w:sz w:val="32"/>
          <w:szCs w:val="32"/>
        </w:rPr>
      </w:pPr>
      <w:r>
        <w:rPr>
          <w:rFonts w:hint="eastAsia" w:ascii="宋体" w:hAnsi="宋体" w:eastAsia="仿宋_GB2312"/>
          <w:sz w:val="32"/>
          <w:szCs w:val="32"/>
        </w:rPr>
        <w:t>6.1</w:t>
      </w:r>
      <w:r>
        <w:rPr>
          <w:rFonts w:ascii="宋体" w:hAnsi="宋体" w:eastAsia="仿宋_GB2312"/>
          <w:color w:val="000000"/>
          <w:sz w:val="32"/>
          <w:szCs w:val="32"/>
        </w:rPr>
        <w:t>主要检验项目及检验项目属性划分</w:t>
      </w:r>
      <w:r>
        <w:rPr>
          <w:rFonts w:hint="eastAsia" w:ascii="宋体" w:hAnsi="宋体" w:eastAsia="仿宋_GB2312"/>
          <w:color w:val="000000"/>
          <w:sz w:val="32"/>
          <w:szCs w:val="32"/>
        </w:rPr>
        <w:t>（</w:t>
      </w:r>
      <w:r>
        <w:rPr>
          <w:rFonts w:hint="eastAsia" w:ascii="宋体" w:hAnsi="宋体" w:eastAsia="仿宋_GB2312"/>
          <w:sz w:val="32"/>
          <w:szCs w:val="32"/>
        </w:rPr>
        <w:t>见表3</w:t>
      </w:r>
      <w:r>
        <w:rPr>
          <w:rFonts w:hint="eastAsia" w:ascii="宋体" w:hAnsi="宋体" w:eastAsia="仿宋_GB2312"/>
          <w:color w:val="000000"/>
          <w:sz w:val="32"/>
          <w:szCs w:val="32"/>
        </w:rPr>
        <w:t>）</w:t>
      </w:r>
    </w:p>
    <w:p>
      <w:pPr>
        <w:widowControl w:val="0"/>
        <w:wordWrap/>
        <w:snapToGrid w:val="0"/>
        <w:spacing w:line="240" w:lineRule="auto"/>
        <w:jc w:val="center"/>
        <w:outlineLvl w:val="9"/>
        <w:rPr>
          <w:rFonts w:ascii="黑体" w:hAnsi="黑体" w:eastAsia="仿宋_GB2312"/>
          <w:b/>
          <w:szCs w:val="21"/>
        </w:rPr>
      </w:pPr>
      <w:r>
        <w:rPr>
          <w:rFonts w:hint="eastAsia" w:ascii="黑体" w:hAnsi="黑体" w:eastAsia="仿宋_GB2312"/>
          <w:b/>
          <w:szCs w:val="21"/>
        </w:rPr>
        <w:t>表3　</w:t>
      </w:r>
      <w:r>
        <w:rPr>
          <w:rFonts w:ascii="黑体" w:hAnsi="黑体" w:eastAsia="仿宋_GB2312"/>
          <w:b/>
          <w:szCs w:val="21"/>
        </w:rPr>
        <w:t>主要检验项目及检验项目属性划分</w:t>
      </w:r>
    </w:p>
    <w:tbl>
      <w:tblPr>
        <w:tblStyle w:val="7"/>
        <w:tblW w:w="921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2"/>
        <w:gridCol w:w="732"/>
        <w:gridCol w:w="1173"/>
        <w:gridCol w:w="1407"/>
        <w:gridCol w:w="1913"/>
        <w:gridCol w:w="822"/>
        <w:gridCol w:w="682"/>
        <w:gridCol w:w="823"/>
        <w:gridCol w:w="9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6" w:hRule="atLeast"/>
          <w:tblHeader/>
          <w:jc w:val="center"/>
        </w:trPr>
        <w:tc>
          <w:tcPr>
            <w:tcW w:w="71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69" w:leftChars="-33"/>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序号</w:t>
            </w:r>
          </w:p>
        </w:tc>
        <w:tc>
          <w:tcPr>
            <w:tcW w:w="1905" w:type="dxa"/>
            <w:gridSpan w:val="2"/>
            <w:tcBorders>
              <w:top w:val="single" w:color="auto" w:sz="4" w:space="0"/>
              <w:left w:val="nil"/>
              <w:bottom w:val="single" w:color="auto" w:sz="4" w:space="0"/>
              <w:right w:val="single" w:color="auto" w:sz="4" w:space="0"/>
            </w:tcBorders>
            <w:vAlign w:val="center"/>
          </w:tcPr>
          <w:p>
            <w:pPr>
              <w:widowControl w:val="0"/>
              <w:wordWrap/>
              <w:adjustRightInd w:val="0"/>
              <w:snapToGrid w:val="0"/>
              <w:spacing w:line="240" w:lineRule="auto"/>
              <w:ind w:left="-69" w:leftChars="-33"/>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检验项目</w:t>
            </w:r>
          </w:p>
        </w:tc>
        <w:tc>
          <w:tcPr>
            <w:tcW w:w="1407" w:type="dxa"/>
            <w:tcBorders>
              <w:top w:val="single" w:color="auto" w:sz="4" w:space="0"/>
              <w:left w:val="nil"/>
              <w:bottom w:val="single" w:color="auto" w:sz="4" w:space="0"/>
              <w:right w:val="single" w:color="auto" w:sz="4" w:space="0"/>
            </w:tcBorders>
            <w:vAlign w:val="center"/>
          </w:tcPr>
          <w:p>
            <w:pPr>
              <w:widowControl w:val="0"/>
              <w:wordWrap/>
              <w:adjustRightInd w:val="0"/>
              <w:snapToGrid w:val="0"/>
              <w:spacing w:line="240" w:lineRule="auto"/>
              <w:ind w:left="-69" w:leftChars="-33"/>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依据法律法规或标准</w:t>
            </w:r>
          </w:p>
        </w:tc>
        <w:tc>
          <w:tcPr>
            <w:tcW w:w="1913" w:type="dxa"/>
            <w:tcBorders>
              <w:top w:val="single" w:color="auto" w:sz="4" w:space="0"/>
              <w:left w:val="nil"/>
              <w:bottom w:val="single" w:color="auto" w:sz="4" w:space="0"/>
              <w:right w:val="single" w:color="auto" w:sz="4" w:space="0"/>
            </w:tcBorders>
            <w:vAlign w:val="center"/>
          </w:tcPr>
          <w:p>
            <w:pPr>
              <w:widowControl w:val="0"/>
              <w:wordWrap/>
              <w:adjustRightInd w:val="0"/>
              <w:snapToGrid w:val="0"/>
              <w:spacing w:line="240" w:lineRule="auto"/>
              <w:ind w:left="-69" w:leftChars="-33"/>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检测方法</w:t>
            </w:r>
          </w:p>
        </w:tc>
        <w:tc>
          <w:tcPr>
            <w:tcW w:w="82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71" w:leftChars="-34" w:right="-69" w:rightChars="-33"/>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强制性</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71" w:leftChars="-34" w:right="-69" w:rightChars="-33"/>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非强制性</w:t>
            </w:r>
          </w:p>
        </w:tc>
        <w:tc>
          <w:tcPr>
            <w:tcW w:w="823"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71" w:leftChars="-34" w:right="-69" w:rightChars="-33"/>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重要项</w:t>
            </w:r>
          </w:p>
          <w:p>
            <w:pPr>
              <w:widowControl w:val="0"/>
              <w:wordWrap/>
              <w:adjustRightInd w:val="0"/>
              <w:snapToGrid w:val="0"/>
              <w:spacing w:line="240" w:lineRule="auto"/>
              <w:ind w:left="-71" w:leftChars="-34" w:right="-69" w:rightChars="-33"/>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(Ａ类)</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71" w:leftChars="-34" w:right="-69" w:rightChars="-33"/>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一般项</w:t>
            </w:r>
          </w:p>
          <w:p>
            <w:pPr>
              <w:widowControl w:val="0"/>
              <w:wordWrap/>
              <w:adjustRightInd w:val="0"/>
              <w:snapToGrid w:val="0"/>
              <w:spacing w:line="240" w:lineRule="auto"/>
              <w:ind w:left="-71" w:leftChars="-34" w:right="-69" w:rightChars="-33"/>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(B类)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79" w:hRule="atLeast"/>
          <w:jc w:val="center"/>
        </w:trPr>
        <w:tc>
          <w:tcPr>
            <w:tcW w:w="71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905" w:type="dxa"/>
            <w:gridSpan w:val="2"/>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标志和说明</w:t>
            </w:r>
          </w:p>
        </w:tc>
        <w:tc>
          <w:tcPr>
            <w:tcW w:w="3320" w:type="dxa"/>
            <w:gridSpan w:val="2"/>
            <w:vMerge w:val="restart"/>
            <w:tcBorders>
              <w:top w:val="single" w:color="auto" w:sz="4" w:space="0"/>
              <w:left w:val="nil"/>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GB4706.1-2005</w:t>
            </w:r>
          </w:p>
          <w:p>
            <w:pPr>
              <w:widowControl w:val="0"/>
              <w:wordWrap/>
              <w:spacing w:line="240" w:lineRule="auto"/>
              <w:jc w:val="left"/>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sz w:val="24"/>
                <w:szCs w:val="24"/>
              </w:rPr>
              <w:t>GB4706.36-2014</w:t>
            </w:r>
          </w:p>
        </w:tc>
        <w:tc>
          <w:tcPr>
            <w:tcW w:w="82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79" w:hRule="atLeast"/>
          <w:jc w:val="center"/>
        </w:trPr>
        <w:tc>
          <w:tcPr>
            <w:tcW w:w="71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905" w:type="dxa"/>
            <w:gridSpan w:val="2"/>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输入功率和电流</w:t>
            </w:r>
          </w:p>
        </w:tc>
        <w:tc>
          <w:tcPr>
            <w:tcW w:w="3320" w:type="dxa"/>
            <w:gridSpan w:val="2"/>
            <w:vMerge w:val="continue"/>
            <w:tcBorders>
              <w:left w:val="nil"/>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82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79" w:hRule="atLeast"/>
          <w:jc w:val="center"/>
        </w:trPr>
        <w:tc>
          <w:tcPr>
            <w:tcW w:w="71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905" w:type="dxa"/>
            <w:gridSpan w:val="2"/>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电源连接和外部软线</w:t>
            </w:r>
          </w:p>
        </w:tc>
        <w:tc>
          <w:tcPr>
            <w:tcW w:w="3320" w:type="dxa"/>
            <w:gridSpan w:val="2"/>
            <w:vMerge w:val="continue"/>
            <w:tcBorders>
              <w:left w:val="nil"/>
              <w:right w:val="single" w:color="auto" w:sz="4" w:space="0"/>
            </w:tcBorders>
            <w:vAlign w:val="center"/>
          </w:tcPr>
          <w:p>
            <w:pPr>
              <w:widowControl w:val="0"/>
              <w:wordWrap/>
              <w:adjustRightInd w:val="0"/>
              <w:snapToGrid w:val="0"/>
              <w:spacing w:line="240" w:lineRule="auto"/>
              <w:outlineLvl w:val="9"/>
              <w:rPr>
                <w:rFonts w:hint="eastAsia" w:ascii="仿宋_GB2312" w:hAnsi="仿宋_GB2312" w:eastAsia="仿宋_GB2312" w:cs="仿宋_GB2312"/>
                <w:bCs/>
                <w:color w:val="000000"/>
                <w:kern w:val="0"/>
                <w:sz w:val="24"/>
                <w:szCs w:val="24"/>
              </w:rPr>
            </w:pPr>
          </w:p>
        </w:tc>
        <w:tc>
          <w:tcPr>
            <w:tcW w:w="82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79" w:hRule="atLeast"/>
          <w:jc w:val="center"/>
        </w:trPr>
        <w:tc>
          <w:tcPr>
            <w:tcW w:w="71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905" w:type="dxa"/>
            <w:gridSpan w:val="2"/>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接地措施</w:t>
            </w:r>
          </w:p>
        </w:tc>
        <w:tc>
          <w:tcPr>
            <w:tcW w:w="3320" w:type="dxa"/>
            <w:gridSpan w:val="2"/>
            <w:vMerge w:val="continue"/>
            <w:tcBorders>
              <w:left w:val="nil"/>
              <w:bottom w:val="single" w:color="auto" w:sz="4" w:space="0"/>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822"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712" w:type="dxa"/>
            <w:vMerge w:val="restart"/>
            <w:tcBorders>
              <w:top w:val="single" w:color="auto" w:sz="4" w:space="0"/>
              <w:left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732" w:type="dxa"/>
            <w:vMerge w:val="restart"/>
            <w:tcBorders>
              <w:top w:val="single" w:color="auto" w:sz="4" w:space="0"/>
              <w:left w:val="nil"/>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不锈钢</w:t>
            </w:r>
          </w:p>
        </w:tc>
        <w:tc>
          <w:tcPr>
            <w:tcW w:w="1173"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砷（As）迁移量</w:t>
            </w:r>
          </w:p>
        </w:tc>
        <w:tc>
          <w:tcPr>
            <w:tcW w:w="1407" w:type="dxa"/>
            <w:vMerge w:val="restart"/>
            <w:tcBorders>
              <w:top w:val="single" w:color="auto" w:sz="4" w:space="0"/>
              <w:left w:val="nil"/>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sz w:val="24"/>
                <w:szCs w:val="24"/>
              </w:rPr>
              <w:t>GB 4806.9-2016</w:t>
            </w:r>
          </w:p>
        </w:tc>
        <w:tc>
          <w:tcPr>
            <w:tcW w:w="1913" w:type="dxa"/>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31604.38-2016</w:t>
            </w:r>
          </w:p>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31604.49-2016</w:t>
            </w:r>
          </w:p>
        </w:tc>
        <w:tc>
          <w:tcPr>
            <w:tcW w:w="82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712" w:type="dxa"/>
            <w:vMerge w:val="continue"/>
            <w:tcBorders>
              <w:left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732" w:type="dxa"/>
            <w:vMerge w:val="continue"/>
            <w:tcBorders>
              <w:left w:val="nil"/>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p>
        </w:tc>
        <w:tc>
          <w:tcPr>
            <w:tcW w:w="1173"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镉（Cd）迁移量</w:t>
            </w:r>
          </w:p>
        </w:tc>
        <w:tc>
          <w:tcPr>
            <w:tcW w:w="1407" w:type="dxa"/>
            <w:vMerge w:val="continue"/>
            <w:tcBorders>
              <w:left w:val="nil"/>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1913" w:type="dxa"/>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31604.24-2016</w:t>
            </w:r>
          </w:p>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31604.49-2016</w:t>
            </w:r>
          </w:p>
        </w:tc>
        <w:tc>
          <w:tcPr>
            <w:tcW w:w="822"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712" w:type="dxa"/>
            <w:vMerge w:val="continue"/>
            <w:tcBorders>
              <w:left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732" w:type="dxa"/>
            <w:vMerge w:val="continue"/>
            <w:tcBorders>
              <w:left w:val="nil"/>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p>
        </w:tc>
        <w:tc>
          <w:tcPr>
            <w:tcW w:w="1173"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铅（Pb）迁移量</w:t>
            </w:r>
          </w:p>
        </w:tc>
        <w:tc>
          <w:tcPr>
            <w:tcW w:w="1407" w:type="dxa"/>
            <w:vMerge w:val="continue"/>
            <w:tcBorders>
              <w:left w:val="nil"/>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1913" w:type="dxa"/>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31604.34-2016</w:t>
            </w:r>
          </w:p>
        </w:tc>
        <w:tc>
          <w:tcPr>
            <w:tcW w:w="822"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712" w:type="dxa"/>
            <w:vMerge w:val="continue"/>
            <w:tcBorders>
              <w:left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732" w:type="dxa"/>
            <w:vMerge w:val="continue"/>
            <w:tcBorders>
              <w:left w:val="nil"/>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p>
        </w:tc>
        <w:tc>
          <w:tcPr>
            <w:tcW w:w="1173"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铬（Cr）迁移量</w:t>
            </w:r>
          </w:p>
        </w:tc>
        <w:tc>
          <w:tcPr>
            <w:tcW w:w="1407" w:type="dxa"/>
            <w:vMerge w:val="continue"/>
            <w:tcBorders>
              <w:left w:val="nil"/>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1913" w:type="dxa"/>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31604.25-2016</w:t>
            </w:r>
          </w:p>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31604.49-2016</w:t>
            </w:r>
          </w:p>
        </w:tc>
        <w:tc>
          <w:tcPr>
            <w:tcW w:w="822"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712" w:type="dxa"/>
            <w:vMerge w:val="continue"/>
            <w:tcBorders>
              <w:left w:val="single" w:color="auto" w:sz="4" w:space="0"/>
              <w:bottom w:val="single" w:color="auto" w:sz="4" w:space="0"/>
              <w:right w:val="single" w:color="auto" w:sz="4" w:space="0"/>
            </w:tcBorders>
            <w:vAlign w:val="center"/>
          </w:tcPr>
          <w:p>
            <w:pPr>
              <w:widowControl w:val="0"/>
              <w:wordWrap/>
              <w:spacing w:line="240" w:lineRule="auto"/>
              <w:jc w:val="center"/>
              <w:outlineLvl w:val="9"/>
              <w:rPr>
                <w:rFonts w:hint="eastAsia" w:ascii="仿宋_GB2312" w:hAnsi="仿宋_GB2312" w:eastAsia="仿宋_GB2312" w:cs="仿宋_GB2312"/>
                <w:sz w:val="24"/>
                <w:szCs w:val="24"/>
              </w:rPr>
            </w:pPr>
          </w:p>
        </w:tc>
        <w:tc>
          <w:tcPr>
            <w:tcW w:w="732" w:type="dxa"/>
            <w:vMerge w:val="continue"/>
            <w:tcBorders>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p>
        </w:tc>
        <w:tc>
          <w:tcPr>
            <w:tcW w:w="1173" w:type="dxa"/>
            <w:tcBorders>
              <w:top w:val="single" w:color="auto" w:sz="4" w:space="0"/>
              <w:left w:val="nil"/>
              <w:bottom w:val="single" w:color="auto" w:sz="4" w:space="0"/>
              <w:right w:val="single" w:color="auto" w:sz="4" w:space="0"/>
            </w:tcBorders>
            <w:vAlign w:val="center"/>
          </w:tcPr>
          <w:p>
            <w:pPr>
              <w:widowControl w:val="0"/>
              <w:wordWrap/>
              <w:spacing w:line="240" w:lineRule="auto"/>
              <w:textAlignment w:val="center"/>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镍（Ni）迁移量</w:t>
            </w:r>
          </w:p>
        </w:tc>
        <w:tc>
          <w:tcPr>
            <w:tcW w:w="1407" w:type="dxa"/>
            <w:vMerge w:val="continue"/>
            <w:tcBorders>
              <w:left w:val="nil"/>
              <w:bottom w:val="single" w:color="auto" w:sz="4" w:space="0"/>
              <w:right w:val="single" w:color="auto" w:sz="4" w:space="0"/>
            </w:tcBorders>
            <w:vAlign w:val="center"/>
          </w:tcPr>
          <w:p>
            <w:pPr>
              <w:widowControl w:val="0"/>
              <w:wordWrap/>
              <w:adjustRightInd w:val="0"/>
              <w:snapToGrid w:val="0"/>
              <w:spacing w:line="240" w:lineRule="auto"/>
              <w:jc w:val="left"/>
              <w:outlineLvl w:val="9"/>
              <w:rPr>
                <w:rFonts w:hint="eastAsia" w:ascii="仿宋_GB2312" w:hAnsi="仿宋_GB2312" w:eastAsia="仿宋_GB2312" w:cs="仿宋_GB2312"/>
                <w:bCs/>
                <w:color w:val="000000"/>
                <w:kern w:val="0"/>
                <w:sz w:val="24"/>
                <w:szCs w:val="24"/>
              </w:rPr>
            </w:pPr>
          </w:p>
        </w:tc>
        <w:tc>
          <w:tcPr>
            <w:tcW w:w="1913" w:type="dxa"/>
            <w:tcBorders>
              <w:top w:val="single" w:color="auto" w:sz="4" w:space="0"/>
              <w:left w:val="nil"/>
              <w:bottom w:val="single" w:color="auto" w:sz="4" w:space="0"/>
              <w:right w:val="single" w:color="auto" w:sz="4" w:space="0"/>
            </w:tcBorders>
            <w:vAlign w:val="center"/>
          </w:tcPr>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31604.33-2016</w:t>
            </w:r>
          </w:p>
          <w:p>
            <w:pPr>
              <w:widowControl w:val="0"/>
              <w:wordWrap/>
              <w:spacing w:line="240" w:lineRule="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 31604.49-2016</w:t>
            </w:r>
          </w:p>
        </w:tc>
        <w:tc>
          <w:tcPr>
            <w:tcW w:w="822"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68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c>
          <w:tcPr>
            <w:tcW w:w="82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jc w:val="center"/>
              <w:outlineLvl w:val="9"/>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w:t>
            </w:r>
          </w:p>
        </w:tc>
        <w:tc>
          <w:tcPr>
            <w:tcW w:w="95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jc w:val="center"/>
              <w:outlineLvl w:val="9"/>
              <w:rPr>
                <w:rFonts w:hint="eastAsia" w:ascii="仿宋_GB2312" w:hAnsi="仿宋_GB2312" w:eastAsia="仿宋_GB2312" w:cs="仿宋_GB2312"/>
                <w:bCs/>
                <w:color w:val="000000"/>
                <w:kern w:val="0"/>
                <w:sz w:val="24"/>
                <w:szCs w:val="24"/>
              </w:rPr>
            </w:pPr>
          </w:p>
        </w:tc>
      </w:tr>
    </w:tbl>
    <w:p>
      <w:pPr>
        <w:widowControl w:val="0"/>
        <w:wordWrap/>
        <w:snapToGrid w:val="0"/>
        <w:spacing w:line="240" w:lineRule="auto"/>
        <w:ind w:firstLine="420" w:firstLineChars="200"/>
        <w:outlineLvl w:val="9"/>
        <w:rPr>
          <w:rFonts w:ascii="宋体" w:hAnsi="宋体" w:eastAsia="仿宋_GB2312"/>
          <w:szCs w:val="21"/>
        </w:rPr>
      </w:pPr>
    </w:p>
    <w:p>
      <w:pPr>
        <w:widowControl w:val="0"/>
        <w:wordWrap/>
        <w:snapToGrid w:val="0"/>
        <w:spacing w:line="240" w:lineRule="auto"/>
        <w:outlineLvl w:val="9"/>
        <w:rPr>
          <w:rFonts w:ascii="宋体" w:hAnsi="宋体" w:eastAsia="仿宋_GB2312"/>
          <w:sz w:val="32"/>
          <w:szCs w:val="32"/>
        </w:rPr>
      </w:pPr>
      <w:r>
        <w:rPr>
          <w:rFonts w:hint="eastAsia" w:ascii="宋体" w:hAnsi="宋体" w:eastAsia="仿宋_GB2312"/>
          <w:sz w:val="32"/>
          <w:szCs w:val="32"/>
        </w:rPr>
        <w:t>6.</w:t>
      </w:r>
      <w:r>
        <w:rPr>
          <w:rFonts w:ascii="宋体" w:hAnsi="宋体" w:eastAsia="仿宋_GB2312"/>
          <w:sz w:val="32"/>
          <w:szCs w:val="32"/>
        </w:rPr>
        <w:t>2</w:t>
      </w:r>
      <w:r>
        <w:rPr>
          <w:rFonts w:hint="eastAsia" w:ascii="宋体" w:hAnsi="宋体" w:eastAsia="仿宋_GB2312"/>
          <w:sz w:val="32"/>
          <w:szCs w:val="32"/>
        </w:rPr>
        <w:t>检验应注意的问题</w:t>
      </w:r>
    </w:p>
    <w:p>
      <w:pPr>
        <w:widowControl w:val="0"/>
        <w:wordWrap/>
        <w:snapToGrid w:val="0"/>
        <w:spacing w:line="240" w:lineRule="auto"/>
        <w:outlineLvl w:val="9"/>
        <w:rPr>
          <w:rFonts w:ascii="宋体" w:hAnsi="宋体" w:eastAsia="仿宋_GB2312"/>
          <w:color w:val="000000"/>
          <w:sz w:val="32"/>
          <w:szCs w:val="32"/>
        </w:rPr>
      </w:pPr>
      <w:r>
        <w:rPr>
          <w:rFonts w:hint="eastAsia" w:ascii="宋体" w:hAnsi="宋体" w:eastAsia="仿宋_GB2312"/>
          <w:color w:val="000000"/>
          <w:sz w:val="32"/>
          <w:szCs w:val="32"/>
        </w:rPr>
        <w:t>6.2.1样品检验过程遵循如下原则：</w:t>
      </w:r>
    </w:p>
    <w:p>
      <w:pPr>
        <w:widowControl w:val="0"/>
        <w:wordWrap/>
        <w:snapToGrid w:val="0"/>
        <w:spacing w:line="240" w:lineRule="auto"/>
        <w:ind w:firstLine="418" w:firstLineChars="199"/>
        <w:outlineLvl w:val="9"/>
        <w:rPr>
          <w:rFonts w:ascii="宋体" w:hAnsi="宋体" w:eastAsia="仿宋_GB2312"/>
          <w:color w:val="000000"/>
          <w:sz w:val="32"/>
          <w:szCs w:val="32"/>
        </w:rPr>
      </w:pPr>
      <w:r>
        <w:rPr>
          <w:rFonts w:hint="eastAsia" w:ascii="宋体" w:hAnsi="宋体" w:eastAsia="仿宋_GB2312"/>
          <w:color w:val="000000"/>
          <w:sz w:val="32"/>
          <w:szCs w:val="32"/>
        </w:rPr>
        <w:t>a</w:t>
      </w:r>
      <w:r>
        <w:rPr>
          <w:rFonts w:ascii="宋体" w:hAnsi="宋体" w:eastAsia="仿宋_GB2312"/>
          <w:color w:val="000000"/>
          <w:sz w:val="32"/>
          <w:szCs w:val="32"/>
        </w:rPr>
        <w:t xml:space="preserve">) </w:t>
      </w:r>
      <w:r>
        <w:rPr>
          <w:rFonts w:hint="eastAsia" w:ascii="宋体" w:hAnsi="宋体" w:eastAsia="仿宋_GB2312"/>
          <w:color w:val="000000"/>
          <w:sz w:val="32"/>
          <w:szCs w:val="32"/>
        </w:rPr>
        <w:t>当被检样品明示的质量要求优本细则中检验项目依据的标准要求时，应按被检样品明示的质量要求判定；</w:t>
      </w:r>
    </w:p>
    <w:p>
      <w:pPr>
        <w:widowControl w:val="0"/>
        <w:wordWrap/>
        <w:snapToGrid w:val="0"/>
        <w:spacing w:line="240" w:lineRule="auto"/>
        <w:ind w:firstLine="418" w:firstLineChars="199"/>
        <w:outlineLvl w:val="9"/>
        <w:rPr>
          <w:rFonts w:ascii="宋体" w:hAnsi="宋体" w:eastAsia="仿宋_GB2312"/>
          <w:color w:val="000000"/>
          <w:sz w:val="32"/>
          <w:szCs w:val="32"/>
        </w:rPr>
      </w:pPr>
      <w:r>
        <w:rPr>
          <w:rFonts w:ascii="宋体" w:hAnsi="宋体" w:eastAsia="仿宋_GB2312"/>
          <w:color w:val="000000"/>
          <w:sz w:val="32"/>
          <w:szCs w:val="32"/>
        </w:rPr>
        <w:t xml:space="preserve">b) </w:t>
      </w:r>
      <w:r>
        <w:rPr>
          <w:rFonts w:hint="eastAsia" w:ascii="宋体" w:hAnsi="宋体" w:eastAsia="仿宋_GB2312"/>
          <w:color w:val="000000"/>
          <w:sz w:val="32"/>
          <w:szCs w:val="32"/>
        </w:rPr>
        <w:t>当被检样品明示的质量要求劣于或不包含本细则中检验项目依据的强制性标准要求时，应按照强制性标准要求判定；</w:t>
      </w:r>
    </w:p>
    <w:p>
      <w:pPr>
        <w:widowControl w:val="0"/>
        <w:wordWrap/>
        <w:snapToGrid w:val="0"/>
        <w:spacing w:line="240" w:lineRule="auto"/>
        <w:ind w:firstLine="418" w:firstLineChars="199"/>
        <w:outlineLvl w:val="9"/>
        <w:rPr>
          <w:rFonts w:ascii="宋体" w:hAnsi="宋体" w:eastAsia="仿宋_GB2312"/>
          <w:color w:val="000000"/>
          <w:sz w:val="32"/>
          <w:szCs w:val="32"/>
        </w:rPr>
      </w:pPr>
      <w:r>
        <w:rPr>
          <w:rFonts w:hint="eastAsia" w:ascii="宋体" w:hAnsi="宋体" w:eastAsia="仿宋_GB2312"/>
          <w:color w:val="000000"/>
          <w:sz w:val="32"/>
          <w:szCs w:val="32"/>
        </w:rPr>
        <w:t>c</w:t>
      </w:r>
      <w:r>
        <w:rPr>
          <w:rFonts w:ascii="宋体" w:hAnsi="宋体" w:eastAsia="仿宋_GB2312"/>
          <w:color w:val="000000"/>
          <w:sz w:val="32"/>
          <w:szCs w:val="32"/>
        </w:rPr>
        <w:t xml:space="preserve">) </w:t>
      </w:r>
      <w:r>
        <w:rPr>
          <w:rFonts w:hint="eastAsia" w:ascii="宋体" w:hAnsi="宋体" w:eastAsia="仿宋_GB2312"/>
          <w:color w:val="000000"/>
          <w:sz w:val="32"/>
          <w:szCs w:val="32"/>
        </w:rPr>
        <w:t>当被检样品明示的质量要求劣于或包含本细则中检验项目依据的推荐性标准要求时，应以被检样品明示的质量要求判定，如相应检验结果不符合相关推荐性标准要求时，应在检验报告中予以说明；</w:t>
      </w:r>
    </w:p>
    <w:p>
      <w:pPr>
        <w:widowControl w:val="0"/>
        <w:wordWrap/>
        <w:snapToGrid w:val="0"/>
        <w:spacing w:line="240" w:lineRule="auto"/>
        <w:ind w:firstLine="418" w:firstLineChars="199"/>
        <w:outlineLvl w:val="9"/>
        <w:rPr>
          <w:rFonts w:ascii="宋体" w:hAnsi="宋体" w:eastAsia="仿宋_GB2312"/>
          <w:color w:val="000000"/>
          <w:sz w:val="32"/>
          <w:szCs w:val="32"/>
        </w:rPr>
      </w:pPr>
      <w:r>
        <w:rPr>
          <w:rFonts w:hint="eastAsia" w:ascii="宋体" w:hAnsi="宋体" w:eastAsia="仿宋_GB2312"/>
          <w:color w:val="000000"/>
          <w:sz w:val="32"/>
          <w:szCs w:val="32"/>
        </w:rPr>
        <w:t>d</w:t>
      </w:r>
      <w:r>
        <w:rPr>
          <w:rFonts w:ascii="宋体" w:hAnsi="宋体" w:eastAsia="仿宋_GB2312"/>
          <w:color w:val="000000"/>
          <w:sz w:val="32"/>
          <w:szCs w:val="32"/>
        </w:rPr>
        <w:t xml:space="preserve">) </w:t>
      </w:r>
      <w:r>
        <w:rPr>
          <w:rFonts w:hint="eastAsia" w:ascii="宋体" w:hAnsi="宋体" w:eastAsia="仿宋_GB2312"/>
          <w:color w:val="000000"/>
          <w:sz w:val="32"/>
          <w:szCs w:val="32"/>
        </w:rPr>
        <w:t>当被检样品明示的质量要求不包含本细则中检验项目依据的推荐性标准要求时，该项目不参与判定，但应在检验报告中作出说明；</w:t>
      </w:r>
    </w:p>
    <w:p>
      <w:pPr>
        <w:widowControl w:val="0"/>
        <w:wordWrap/>
        <w:snapToGrid w:val="0"/>
        <w:spacing w:line="240" w:lineRule="auto"/>
        <w:ind w:firstLine="418" w:firstLineChars="199"/>
        <w:outlineLvl w:val="9"/>
        <w:rPr>
          <w:rFonts w:ascii="宋体" w:hAnsi="宋体" w:eastAsia="仿宋_GB2312"/>
          <w:color w:val="000000"/>
          <w:sz w:val="32"/>
          <w:szCs w:val="32"/>
        </w:rPr>
      </w:pPr>
      <w:r>
        <w:rPr>
          <w:rFonts w:hint="eastAsia" w:ascii="宋体" w:hAnsi="宋体" w:eastAsia="仿宋_GB2312"/>
          <w:color w:val="000000"/>
          <w:sz w:val="32"/>
          <w:szCs w:val="32"/>
        </w:rPr>
        <w:t>e</w:t>
      </w:r>
      <w:r>
        <w:rPr>
          <w:rFonts w:ascii="宋体" w:hAnsi="宋体" w:eastAsia="仿宋_GB2312"/>
          <w:color w:val="000000"/>
          <w:sz w:val="32"/>
          <w:szCs w:val="32"/>
        </w:rPr>
        <w:t xml:space="preserve">) </w:t>
      </w:r>
      <w:r>
        <w:rPr>
          <w:rFonts w:hint="eastAsia" w:ascii="宋体" w:hAnsi="宋体" w:eastAsia="仿宋_GB2312"/>
          <w:color w:val="000000"/>
          <w:sz w:val="32"/>
          <w:szCs w:val="32"/>
        </w:rPr>
        <w:t>当被检样品未能提供有效的企业标准时，按相关国家或行业标准进行判定；</w:t>
      </w:r>
    </w:p>
    <w:p>
      <w:pPr>
        <w:widowControl w:val="0"/>
        <w:wordWrap/>
        <w:snapToGrid w:val="0"/>
        <w:spacing w:line="240" w:lineRule="auto"/>
        <w:ind w:firstLine="418" w:firstLineChars="199"/>
        <w:outlineLvl w:val="9"/>
        <w:rPr>
          <w:rFonts w:ascii="宋体" w:hAnsi="宋体" w:eastAsia="仿宋_GB2312"/>
          <w:color w:val="000000"/>
          <w:sz w:val="32"/>
          <w:szCs w:val="32"/>
        </w:rPr>
      </w:pPr>
      <w:r>
        <w:rPr>
          <w:rFonts w:hint="eastAsia" w:ascii="宋体" w:hAnsi="宋体" w:eastAsia="仿宋_GB2312"/>
          <w:color w:val="000000"/>
          <w:sz w:val="32"/>
          <w:szCs w:val="32"/>
        </w:rPr>
        <w:t>f</w:t>
      </w:r>
      <w:r>
        <w:rPr>
          <w:rFonts w:ascii="宋体" w:hAnsi="宋体" w:eastAsia="仿宋_GB2312"/>
          <w:color w:val="000000"/>
          <w:sz w:val="32"/>
          <w:szCs w:val="32"/>
        </w:rPr>
        <w:t xml:space="preserve">) </w:t>
      </w:r>
      <w:r>
        <w:rPr>
          <w:rFonts w:hint="eastAsia" w:ascii="宋体" w:hAnsi="宋体" w:eastAsia="仿宋_GB2312"/>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widowControl w:val="0"/>
        <w:wordWrap/>
        <w:snapToGrid w:val="0"/>
        <w:spacing w:line="240" w:lineRule="auto"/>
        <w:ind w:firstLine="418" w:firstLineChars="199"/>
        <w:outlineLvl w:val="9"/>
        <w:rPr>
          <w:rFonts w:ascii="宋体" w:hAnsi="宋体" w:eastAsia="仿宋_GB2312"/>
          <w:color w:val="000000"/>
          <w:sz w:val="32"/>
          <w:szCs w:val="32"/>
        </w:rPr>
      </w:pPr>
      <w:r>
        <w:rPr>
          <w:rFonts w:hint="eastAsia" w:ascii="宋体" w:hAnsi="宋体" w:eastAsia="仿宋_GB2312"/>
          <w:color w:val="000000"/>
          <w:sz w:val="32"/>
          <w:szCs w:val="32"/>
        </w:rPr>
        <w:t>g</w:t>
      </w:r>
      <w:r>
        <w:rPr>
          <w:rFonts w:ascii="宋体" w:hAnsi="宋体" w:eastAsia="仿宋_GB2312"/>
          <w:color w:val="000000"/>
          <w:sz w:val="32"/>
          <w:szCs w:val="32"/>
        </w:rPr>
        <w:t xml:space="preserve">) </w:t>
      </w:r>
      <w:r>
        <w:rPr>
          <w:rFonts w:hint="eastAsia" w:ascii="宋体" w:hAnsi="宋体" w:eastAsia="仿宋_GB2312"/>
          <w:color w:val="000000"/>
          <w:sz w:val="32"/>
          <w:szCs w:val="32"/>
        </w:rPr>
        <w:t>按照产品质量相关法律法规的规定判定。</w:t>
      </w:r>
    </w:p>
    <w:p>
      <w:pPr>
        <w:widowControl w:val="0"/>
        <w:wordWrap/>
        <w:snapToGrid w:val="0"/>
        <w:spacing w:line="240" w:lineRule="auto"/>
        <w:ind w:firstLine="418" w:firstLineChars="199"/>
        <w:outlineLvl w:val="9"/>
        <w:rPr>
          <w:rFonts w:ascii="宋体" w:hAnsi="宋体" w:eastAsia="仿宋_GB2312"/>
          <w:color w:val="000000"/>
          <w:sz w:val="32"/>
          <w:szCs w:val="32"/>
        </w:rPr>
      </w:pPr>
      <w:r>
        <w:rPr>
          <w:rFonts w:hint="eastAsia" w:ascii="宋体" w:hAnsi="宋体" w:eastAsia="仿宋_GB2312"/>
          <w:color w:val="000000"/>
          <w:sz w:val="32"/>
          <w:szCs w:val="32"/>
        </w:rPr>
        <w:t>检验中发现因样品失效或者其他原因致使检验无法进行的，检验人员如实记录，并提供相关证明材料，报送组织监督抽查的市场监管部门。</w:t>
      </w:r>
    </w:p>
    <w:p>
      <w:pPr>
        <w:widowControl w:val="0"/>
        <w:wordWrap/>
        <w:snapToGrid w:val="0"/>
        <w:spacing w:line="240" w:lineRule="auto"/>
        <w:outlineLvl w:val="9"/>
        <w:rPr>
          <w:rFonts w:ascii="宋体" w:hAnsi="宋体" w:eastAsia="仿宋_GB2312"/>
          <w:color w:val="000000"/>
          <w:sz w:val="32"/>
          <w:szCs w:val="32"/>
        </w:rPr>
      </w:pPr>
      <w:r>
        <w:rPr>
          <w:rFonts w:hint="eastAsia" w:ascii="宋体" w:hAnsi="宋体" w:eastAsia="仿宋_GB2312"/>
          <w:color w:val="000000"/>
          <w:sz w:val="32"/>
          <w:szCs w:val="32"/>
        </w:rPr>
        <w:t>6</w:t>
      </w:r>
      <w:r>
        <w:rPr>
          <w:rFonts w:ascii="宋体" w:hAnsi="宋体" w:eastAsia="仿宋_GB2312"/>
          <w:color w:val="000000"/>
          <w:sz w:val="32"/>
          <w:szCs w:val="32"/>
        </w:rPr>
        <w:t>.2.</w:t>
      </w:r>
      <w:r>
        <w:rPr>
          <w:rFonts w:hint="eastAsia" w:ascii="宋体" w:hAnsi="宋体" w:eastAsia="仿宋_GB2312"/>
          <w:color w:val="000000"/>
          <w:sz w:val="32"/>
          <w:szCs w:val="32"/>
        </w:rPr>
        <w:t>2对样品检验前、检验中、检验后的记录，特别是影像记录的要求。</w:t>
      </w:r>
    </w:p>
    <w:p>
      <w:pPr>
        <w:widowControl w:val="0"/>
        <w:wordWrap/>
        <w:snapToGrid w:val="0"/>
        <w:spacing w:line="240" w:lineRule="auto"/>
        <w:ind w:firstLine="418" w:firstLineChars="199"/>
        <w:outlineLvl w:val="9"/>
        <w:rPr>
          <w:rFonts w:ascii="宋体" w:hAnsi="宋体" w:eastAsia="仿宋_GB2312"/>
          <w:color w:val="000000"/>
          <w:sz w:val="32"/>
          <w:szCs w:val="32"/>
        </w:rPr>
      </w:pPr>
      <w:r>
        <w:rPr>
          <w:rFonts w:hint="eastAsia" w:ascii="宋体" w:hAnsi="宋体" w:eastAsia="仿宋_GB2312"/>
          <w:color w:val="000000"/>
          <w:sz w:val="32"/>
          <w:szCs w:val="32"/>
        </w:rPr>
        <w:t>试验前，应对样品外观、标签进行拍照保存；检验过程应完整准确记录检验数据，并附检验依据，试验过程发现不合格项目，应对不合格部位及不合格状态进行拍照或录像进行记录，以备查验。</w:t>
      </w:r>
    </w:p>
    <w:p>
      <w:pPr>
        <w:widowControl w:val="0"/>
        <w:wordWrap/>
        <w:snapToGrid w:val="0"/>
        <w:spacing w:line="240" w:lineRule="auto"/>
        <w:outlineLvl w:val="9"/>
        <w:rPr>
          <w:rFonts w:ascii="黑体" w:hAnsi="黑体" w:eastAsia="仿宋_GB2312"/>
          <w:b/>
          <w:color w:val="000000"/>
          <w:sz w:val="32"/>
          <w:szCs w:val="32"/>
        </w:rPr>
      </w:pPr>
      <w:r>
        <w:rPr>
          <w:rFonts w:hint="eastAsia" w:ascii="黑体" w:hAnsi="黑体" w:eastAsia="仿宋_GB2312"/>
          <w:b/>
          <w:color w:val="000000"/>
          <w:sz w:val="32"/>
          <w:szCs w:val="32"/>
        </w:rPr>
        <w:t>7判定原则</w:t>
      </w:r>
    </w:p>
    <w:p>
      <w:pPr>
        <w:widowControl w:val="0"/>
        <w:wordWrap/>
        <w:snapToGrid w:val="0"/>
        <w:spacing w:line="240" w:lineRule="auto"/>
        <w:ind w:firstLine="420" w:firstLineChars="200"/>
        <w:outlineLvl w:val="9"/>
        <w:rPr>
          <w:rFonts w:ascii="宋体" w:hAnsi="宋体" w:eastAsia="仿宋_GB2312"/>
          <w:color w:val="000000"/>
          <w:sz w:val="32"/>
          <w:szCs w:val="32"/>
        </w:rPr>
      </w:pPr>
      <w:r>
        <w:rPr>
          <w:rFonts w:hint="eastAsia" w:ascii="宋体" w:hAnsi="宋体" w:eastAsia="仿宋_GB2312"/>
          <w:color w:val="000000"/>
          <w:sz w:val="32"/>
          <w:szCs w:val="32"/>
        </w:rPr>
        <w:t>本细则未明确的监督抽查抽样检验相关技术规范，均按照《产品质量监督抽查管理暂行办法》（国家市场监督管理总局令第</w:t>
      </w:r>
      <w:r>
        <w:rPr>
          <w:rFonts w:ascii="宋体" w:hAnsi="宋体" w:eastAsia="仿宋_GB2312"/>
          <w:color w:val="000000"/>
          <w:sz w:val="32"/>
          <w:szCs w:val="32"/>
        </w:rPr>
        <w:t>18</w:t>
      </w:r>
      <w:r>
        <w:rPr>
          <w:rFonts w:hint="eastAsia" w:ascii="宋体" w:hAnsi="宋体" w:eastAsia="仿宋_GB2312"/>
          <w:color w:val="000000"/>
          <w:sz w:val="32"/>
          <w:szCs w:val="32"/>
        </w:rPr>
        <w:t>号）、《产品质量监督抽查抽样检验技术服务规范》（</w:t>
      </w:r>
      <w:r>
        <w:rPr>
          <w:rFonts w:ascii="宋体" w:hAnsi="宋体" w:eastAsia="仿宋_GB2312"/>
          <w:color w:val="000000"/>
          <w:sz w:val="32"/>
          <w:szCs w:val="32"/>
        </w:rPr>
        <w:t>T/GDAQI 020-2020</w:t>
      </w:r>
      <w:r>
        <w:rPr>
          <w:rFonts w:hint="eastAsia" w:ascii="宋体" w:hAnsi="宋体" w:eastAsia="仿宋_GB2312"/>
          <w:color w:val="000000"/>
          <w:sz w:val="32"/>
          <w:szCs w:val="32"/>
        </w:rPr>
        <w:t>）规定执行。</w:t>
      </w:r>
    </w:p>
    <w:p>
      <w:pPr>
        <w:widowControl w:val="0"/>
        <w:wordWrap/>
        <w:snapToGrid w:val="0"/>
        <w:spacing w:line="240" w:lineRule="auto"/>
        <w:ind w:firstLine="420" w:firstLineChars="200"/>
        <w:outlineLvl w:val="9"/>
        <w:rPr>
          <w:rFonts w:ascii="宋体" w:hAnsi="宋体" w:eastAsia="仿宋_GB2312"/>
          <w:color w:val="000000"/>
          <w:sz w:val="32"/>
          <w:szCs w:val="32"/>
        </w:rPr>
      </w:pPr>
      <w:r>
        <w:rPr>
          <w:rFonts w:hint="eastAsia" w:ascii="宋体" w:hAnsi="宋体" w:eastAsia="仿宋_GB2312"/>
          <w:color w:val="000000"/>
          <w:sz w:val="32"/>
          <w:szCs w:val="32"/>
        </w:rPr>
        <w:t>如抽到的产品未标注有效执行标准、无法获得有效的标准文本、或采用的标准文本无本细则规定的检测项目，则按</w:t>
      </w:r>
      <w:r>
        <w:rPr>
          <w:rFonts w:hint="eastAsia" w:ascii="宋体" w:hAnsi="宋体" w:eastAsia="仿宋_GB2312"/>
          <w:sz w:val="32"/>
          <w:szCs w:val="32"/>
        </w:rPr>
        <w:t xml:space="preserve">GB4706.1-2005 </w:t>
      </w:r>
      <w:r>
        <w:rPr>
          <w:rFonts w:hint="eastAsia" w:ascii="宋体" w:hAnsi="宋体" w:eastAsia="仿宋_GB2312"/>
          <w:color w:val="000000"/>
          <w:sz w:val="32"/>
          <w:szCs w:val="32"/>
        </w:rPr>
        <w:t>/GB/T 6952-2015/</w:t>
      </w:r>
      <w:r>
        <w:rPr>
          <w:rFonts w:ascii="宋体" w:hAnsi="宋体" w:eastAsia="仿宋_GB2312"/>
          <w:sz w:val="32"/>
          <w:szCs w:val="32"/>
        </w:rPr>
        <w:t xml:space="preserve"> GB 4806.9-2016</w:t>
      </w:r>
      <w:r>
        <w:rPr>
          <w:rFonts w:hint="eastAsia" w:ascii="宋体" w:hAnsi="宋体" w:eastAsia="仿宋_GB2312"/>
          <w:color w:val="000000"/>
          <w:sz w:val="32"/>
          <w:szCs w:val="32"/>
        </w:rPr>
        <w:t>进行检测。</w:t>
      </w:r>
    </w:p>
    <w:p>
      <w:pPr>
        <w:widowControl w:val="0"/>
        <w:wordWrap/>
        <w:snapToGrid w:val="0"/>
        <w:spacing w:line="240" w:lineRule="auto"/>
        <w:outlineLvl w:val="9"/>
        <w:rPr>
          <w:rFonts w:hint="eastAsia" w:ascii="黑体" w:hAnsi="黑体" w:eastAsia="仿宋_GB2312"/>
          <w:b/>
          <w:color w:val="000000"/>
          <w:sz w:val="32"/>
          <w:szCs w:val="32"/>
        </w:rPr>
      </w:pPr>
      <w:r>
        <w:rPr>
          <w:rFonts w:hint="eastAsia" w:ascii="黑体" w:hAnsi="黑体" w:eastAsia="仿宋_GB2312"/>
          <w:b/>
          <w:color w:val="000000"/>
          <w:sz w:val="32"/>
          <w:szCs w:val="32"/>
        </w:rPr>
        <w:t>8 异议处理</w:t>
      </w:r>
    </w:p>
    <w:p>
      <w:pPr>
        <w:widowControl w:val="0"/>
        <w:wordWrap/>
        <w:snapToGrid w:val="0"/>
        <w:spacing w:line="240" w:lineRule="auto"/>
        <w:ind w:firstLine="420" w:firstLineChars="200"/>
        <w:outlineLvl w:val="9"/>
        <w:rPr>
          <w:rFonts w:ascii="宋体" w:hAnsi="宋体" w:eastAsia="仿宋_GB2312"/>
          <w:color w:val="000000"/>
          <w:sz w:val="32"/>
          <w:szCs w:val="32"/>
        </w:rPr>
      </w:pPr>
      <w:r>
        <w:rPr>
          <w:rFonts w:hint="eastAsia" w:ascii="宋体" w:hAnsi="宋体" w:eastAsia="仿宋_GB2312"/>
          <w:color w:val="000000"/>
          <w:sz w:val="32"/>
          <w:szCs w:val="32"/>
        </w:rPr>
        <w:t>被抽样生产者对检验结论有异议的，应提出书面复检申请并阐明理由，向潮州市潮安区市场监督管理局提出，由潮州市潮安区市场监督管理局依法依规处理。</w:t>
      </w:r>
    </w:p>
    <w:p>
      <w:pPr>
        <w:widowControl w:val="0"/>
        <w:wordWrap/>
        <w:snapToGrid w:val="0"/>
        <w:spacing w:line="240" w:lineRule="auto"/>
        <w:ind w:firstLine="420" w:firstLineChars="200"/>
        <w:outlineLvl w:val="9"/>
        <w:rPr>
          <w:rFonts w:ascii="宋体" w:hAnsi="宋体" w:eastAsia="仿宋_GB2312"/>
          <w:color w:val="000000"/>
          <w:sz w:val="32"/>
          <w:szCs w:val="32"/>
        </w:rPr>
      </w:pPr>
      <w:r>
        <w:rPr>
          <w:rFonts w:hint="eastAsia" w:ascii="宋体" w:hAnsi="宋体" w:eastAsia="仿宋_GB2312"/>
          <w:color w:val="000000"/>
          <w:sz w:val="32"/>
          <w:szCs w:val="32"/>
        </w:rPr>
        <w:t>配合监管部门对判定不合格产品进行异议处理时，按以下方式进行：</w:t>
      </w:r>
    </w:p>
    <w:p>
      <w:pPr>
        <w:widowControl w:val="0"/>
        <w:wordWrap/>
        <w:snapToGrid w:val="0"/>
        <w:spacing w:line="240" w:lineRule="auto"/>
        <w:ind w:firstLine="420" w:firstLineChars="200"/>
        <w:outlineLvl w:val="9"/>
        <w:rPr>
          <w:rFonts w:ascii="宋体" w:hAnsi="宋体" w:eastAsia="仿宋_GB2312"/>
          <w:color w:val="000000"/>
          <w:sz w:val="32"/>
          <w:szCs w:val="32"/>
        </w:rPr>
      </w:pPr>
      <w:r>
        <w:rPr>
          <w:rFonts w:ascii="宋体" w:hAnsi="宋体" w:eastAsia="仿宋_GB2312"/>
          <w:color w:val="000000"/>
          <w:sz w:val="32"/>
          <w:szCs w:val="32"/>
        </w:rPr>
        <w:t>8.1</w:t>
      </w:r>
      <w:r>
        <w:rPr>
          <w:rFonts w:hint="eastAsia" w:ascii="宋体" w:hAnsi="宋体" w:eastAsia="仿宋_GB2312"/>
          <w:color w:val="000000"/>
          <w:sz w:val="32"/>
          <w:szCs w:val="32"/>
        </w:rPr>
        <w:t>核查不合格项目相关证据，能够以记录（纸质记录或电子记录或影像记录）或与不合格项目相关联的其它质量数据等检验证据证明。</w:t>
      </w:r>
    </w:p>
    <w:p>
      <w:pPr>
        <w:widowControl w:val="0"/>
        <w:wordWrap/>
        <w:snapToGrid w:val="0"/>
        <w:spacing w:line="240" w:lineRule="auto"/>
        <w:ind w:firstLine="420" w:firstLineChars="200"/>
        <w:outlineLvl w:val="9"/>
        <w:rPr>
          <w:rFonts w:ascii="宋体" w:hAnsi="宋体" w:eastAsia="仿宋_GB2312"/>
          <w:color w:val="000000"/>
          <w:sz w:val="32"/>
          <w:szCs w:val="32"/>
        </w:rPr>
      </w:pPr>
      <w:r>
        <w:rPr>
          <w:rFonts w:ascii="宋体" w:hAnsi="宋体" w:eastAsia="仿宋_GB2312"/>
          <w:color w:val="000000"/>
          <w:sz w:val="32"/>
          <w:szCs w:val="32"/>
        </w:rPr>
        <w:t>8.2</w:t>
      </w:r>
      <w:r>
        <w:rPr>
          <w:rFonts w:hint="eastAsia" w:ascii="宋体" w:hAnsi="宋体" w:eastAsia="仿宋_GB2312"/>
          <w:color w:val="000000"/>
          <w:sz w:val="32"/>
          <w:szCs w:val="32"/>
        </w:rPr>
        <w:t>对需要复检并具备检验条件的，处理企业异议的市场监督管理部门或者指定检验机构应当按原抽查方案对备用样品组织复检，并出具检验报告。复检结论为最终结论。</w:t>
      </w:r>
    </w:p>
    <w:p>
      <w:pPr>
        <w:snapToGrid w:val="0"/>
        <w:spacing w:line="440" w:lineRule="exact"/>
        <w:rPr>
          <w:rFonts w:ascii="宋体" w:hAnsi="宋体"/>
          <w:szCs w:val="21"/>
        </w:rPr>
      </w:pPr>
    </w:p>
    <w:sectPr>
      <w:pgSz w:w="11906" w:h="16838"/>
      <w:pgMar w:top="1440" w:right="1440" w:bottom="1440" w:left="1440" w:header="851" w:footer="992" w:gutter="0"/>
      <w:paperSrc w:first="0" w:oth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宋体"/>
    <w:panose1 w:val="00000000000000000000"/>
    <w:charset w:val="86"/>
    <w:family w:val="auto"/>
    <w:pitch w:val="default"/>
    <w:sig w:usb0="00000000" w:usb1="38CF7CFA" w:usb2="00000016" w:usb3="00000000" w:csb0="0004000F" w:csb1="00000000"/>
  </w:font>
  <w:font w:name="Calibri">
    <w:panose1 w:val="020F0502020204030204"/>
    <w:charset w:val="00"/>
    <w:family w:val="auto"/>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仿宋">
    <w:altName w:val="仿宋_GB2312"/>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8105D"/>
    <w:rsid w:val="00007B14"/>
    <w:rsid w:val="00015CB4"/>
    <w:rsid w:val="00021731"/>
    <w:rsid w:val="000256D2"/>
    <w:rsid w:val="00037822"/>
    <w:rsid w:val="0004520E"/>
    <w:rsid w:val="00062081"/>
    <w:rsid w:val="0007004D"/>
    <w:rsid w:val="00073B2D"/>
    <w:rsid w:val="0008174E"/>
    <w:rsid w:val="000903FE"/>
    <w:rsid w:val="000B2BA9"/>
    <w:rsid w:val="000C55B8"/>
    <w:rsid w:val="0011057A"/>
    <w:rsid w:val="00175687"/>
    <w:rsid w:val="001849A7"/>
    <w:rsid w:val="00185040"/>
    <w:rsid w:val="00195919"/>
    <w:rsid w:val="001C3163"/>
    <w:rsid w:val="001C52AC"/>
    <w:rsid w:val="001C5B62"/>
    <w:rsid w:val="001E4AC4"/>
    <w:rsid w:val="00201DF6"/>
    <w:rsid w:val="00212EFB"/>
    <w:rsid w:val="00213541"/>
    <w:rsid w:val="00235F4F"/>
    <w:rsid w:val="00246B17"/>
    <w:rsid w:val="00246B81"/>
    <w:rsid w:val="002666BF"/>
    <w:rsid w:val="00290DF5"/>
    <w:rsid w:val="002A6DEA"/>
    <w:rsid w:val="002B1F6D"/>
    <w:rsid w:val="002C032C"/>
    <w:rsid w:val="002C19C8"/>
    <w:rsid w:val="002F7DA1"/>
    <w:rsid w:val="00302C71"/>
    <w:rsid w:val="00347D87"/>
    <w:rsid w:val="00355BAF"/>
    <w:rsid w:val="00373ED7"/>
    <w:rsid w:val="00382897"/>
    <w:rsid w:val="00397CE5"/>
    <w:rsid w:val="003B4CB8"/>
    <w:rsid w:val="003D3859"/>
    <w:rsid w:val="003F1021"/>
    <w:rsid w:val="00403B8D"/>
    <w:rsid w:val="0042012B"/>
    <w:rsid w:val="00423F1B"/>
    <w:rsid w:val="00432074"/>
    <w:rsid w:val="00442095"/>
    <w:rsid w:val="00451A10"/>
    <w:rsid w:val="00455B26"/>
    <w:rsid w:val="00465F57"/>
    <w:rsid w:val="0047210F"/>
    <w:rsid w:val="004A1FAE"/>
    <w:rsid w:val="004A30F8"/>
    <w:rsid w:val="004C46AB"/>
    <w:rsid w:val="004C61DF"/>
    <w:rsid w:val="004E690F"/>
    <w:rsid w:val="004F6A9C"/>
    <w:rsid w:val="00500900"/>
    <w:rsid w:val="00514DCC"/>
    <w:rsid w:val="00582E4E"/>
    <w:rsid w:val="00583333"/>
    <w:rsid w:val="005A410B"/>
    <w:rsid w:val="005B3F82"/>
    <w:rsid w:val="005B4245"/>
    <w:rsid w:val="005C2B9E"/>
    <w:rsid w:val="00600F10"/>
    <w:rsid w:val="00613D9E"/>
    <w:rsid w:val="006175C0"/>
    <w:rsid w:val="00622039"/>
    <w:rsid w:val="006221AC"/>
    <w:rsid w:val="00622484"/>
    <w:rsid w:val="00622D9E"/>
    <w:rsid w:val="00635E1F"/>
    <w:rsid w:val="00641157"/>
    <w:rsid w:val="0064532C"/>
    <w:rsid w:val="00651C49"/>
    <w:rsid w:val="006556EF"/>
    <w:rsid w:val="006570F9"/>
    <w:rsid w:val="00675E7A"/>
    <w:rsid w:val="0069061C"/>
    <w:rsid w:val="006C79EF"/>
    <w:rsid w:val="006E583A"/>
    <w:rsid w:val="007074AF"/>
    <w:rsid w:val="00737434"/>
    <w:rsid w:val="00747BBC"/>
    <w:rsid w:val="007C60DC"/>
    <w:rsid w:val="007F5590"/>
    <w:rsid w:val="00812FC9"/>
    <w:rsid w:val="0081604D"/>
    <w:rsid w:val="008222C6"/>
    <w:rsid w:val="008576F1"/>
    <w:rsid w:val="00863DB3"/>
    <w:rsid w:val="00882082"/>
    <w:rsid w:val="0088336C"/>
    <w:rsid w:val="00885101"/>
    <w:rsid w:val="008A4817"/>
    <w:rsid w:val="008D4623"/>
    <w:rsid w:val="008F291D"/>
    <w:rsid w:val="00935CFE"/>
    <w:rsid w:val="009402E5"/>
    <w:rsid w:val="009463E8"/>
    <w:rsid w:val="00957945"/>
    <w:rsid w:val="00961C61"/>
    <w:rsid w:val="00965267"/>
    <w:rsid w:val="009968D8"/>
    <w:rsid w:val="009A0FC9"/>
    <w:rsid w:val="009B2311"/>
    <w:rsid w:val="009E0F26"/>
    <w:rsid w:val="009F1A73"/>
    <w:rsid w:val="00A131BA"/>
    <w:rsid w:val="00A3233C"/>
    <w:rsid w:val="00A9108F"/>
    <w:rsid w:val="00AA1E55"/>
    <w:rsid w:val="00AB112B"/>
    <w:rsid w:val="00AE02FA"/>
    <w:rsid w:val="00B0682D"/>
    <w:rsid w:val="00B07479"/>
    <w:rsid w:val="00B13557"/>
    <w:rsid w:val="00B72EE4"/>
    <w:rsid w:val="00B8105D"/>
    <w:rsid w:val="00BA576C"/>
    <w:rsid w:val="00BB5231"/>
    <w:rsid w:val="00BB6EDA"/>
    <w:rsid w:val="00BC64B2"/>
    <w:rsid w:val="00BE0562"/>
    <w:rsid w:val="00C350B0"/>
    <w:rsid w:val="00C50797"/>
    <w:rsid w:val="00C84E56"/>
    <w:rsid w:val="00CB068D"/>
    <w:rsid w:val="00CB2FC1"/>
    <w:rsid w:val="00CC0ABF"/>
    <w:rsid w:val="00CD039C"/>
    <w:rsid w:val="00CF6AFC"/>
    <w:rsid w:val="00D067C0"/>
    <w:rsid w:val="00D5364D"/>
    <w:rsid w:val="00D57FA4"/>
    <w:rsid w:val="00D6354A"/>
    <w:rsid w:val="00D77750"/>
    <w:rsid w:val="00DA02A8"/>
    <w:rsid w:val="00DA0DAF"/>
    <w:rsid w:val="00DA3053"/>
    <w:rsid w:val="00DC29CB"/>
    <w:rsid w:val="00DD731E"/>
    <w:rsid w:val="00E013C4"/>
    <w:rsid w:val="00E54211"/>
    <w:rsid w:val="00E75A46"/>
    <w:rsid w:val="00E9082B"/>
    <w:rsid w:val="00EB0999"/>
    <w:rsid w:val="00EB137E"/>
    <w:rsid w:val="00EC0E0C"/>
    <w:rsid w:val="00EE13FB"/>
    <w:rsid w:val="00EF3B69"/>
    <w:rsid w:val="00F01308"/>
    <w:rsid w:val="00F262B6"/>
    <w:rsid w:val="00F43098"/>
    <w:rsid w:val="00F536EF"/>
    <w:rsid w:val="00F60257"/>
    <w:rsid w:val="00F6513F"/>
    <w:rsid w:val="00F71445"/>
    <w:rsid w:val="00FA6989"/>
    <w:rsid w:val="00FB4366"/>
    <w:rsid w:val="00FE34C6"/>
    <w:rsid w:val="00FF08D6"/>
    <w:rsid w:val="16241FBC"/>
    <w:rsid w:val="24E739F4"/>
    <w:rsid w:val="3349734B"/>
    <w:rsid w:val="3EB47854"/>
    <w:rsid w:val="59F003F6"/>
    <w:rsid w:val="7574539A"/>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等线"/>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link w:val="12"/>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6">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3">
    <w:name w:val="Plain Text"/>
    <w:basedOn w:val="1"/>
    <w:link w:val="11"/>
    <w:uiPriority w:val="0"/>
    <w:rPr>
      <w:rFonts w:ascii="宋体" w:hAnsi="Courier New" w:cs="Courier New"/>
      <w:szCs w:val="21"/>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8">
    <w:name w:val="列出段落1"/>
    <w:basedOn w:val="1"/>
    <w:qFormat/>
    <w:uiPriority w:val="99"/>
    <w:pPr>
      <w:ind w:firstLine="420" w:firstLineChars="200"/>
    </w:pPr>
  </w:style>
  <w:style w:type="character" w:customStyle="1" w:styleId="9">
    <w:name w:val="页眉 Char"/>
    <w:link w:val="5"/>
    <w:uiPriority w:val="99"/>
    <w:rPr>
      <w:rFonts w:ascii="Calibri" w:hAnsi="Calibri" w:eastAsia="宋体" w:cs="Times New Roman"/>
      <w:sz w:val="18"/>
      <w:szCs w:val="18"/>
    </w:rPr>
  </w:style>
  <w:style w:type="character" w:customStyle="1" w:styleId="10">
    <w:name w:val="页脚 Char"/>
    <w:link w:val="4"/>
    <w:uiPriority w:val="99"/>
    <w:rPr>
      <w:rFonts w:ascii="Calibri" w:hAnsi="Calibri" w:eastAsia="宋体" w:cs="Times New Roman"/>
      <w:sz w:val="18"/>
      <w:szCs w:val="18"/>
    </w:rPr>
  </w:style>
  <w:style w:type="character" w:customStyle="1" w:styleId="11">
    <w:name w:val="纯文本 Char"/>
    <w:link w:val="3"/>
    <w:qFormat/>
    <w:uiPriority w:val="0"/>
    <w:rPr>
      <w:rFonts w:ascii="宋体" w:hAnsi="Courier New" w:eastAsia="宋体" w:cs="Courier New"/>
      <w:szCs w:val="21"/>
    </w:rPr>
  </w:style>
  <w:style w:type="character" w:customStyle="1" w:styleId="12">
    <w:name w:val="标题 3 Char"/>
    <w:basedOn w:val="6"/>
    <w:link w:val="2"/>
    <w:uiPriority w:val="9"/>
    <w:rPr>
      <w:rFonts w:ascii="宋体" w:hAnsi="宋体" w:eastAsia="宋体" w:cs="宋体"/>
      <w:b/>
      <w:bCs/>
      <w:sz w:val="27"/>
      <w:szCs w:val="27"/>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499</Words>
  <Characters>2846</Characters>
  <Lines>23</Lines>
  <Paragraphs>6</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2020-03-30T02:03:00Z</dcterms:created>
  <dc:creator>Windows 用户</dc:creator>
  <cp:lastModifiedBy>蔡林生</cp:lastModifiedBy>
  <dcterms:modified xsi:type="dcterms:W3CDTF">2020-06-05T01:12:16Z</dcterms:modified>
  <dc:title>2020年潮州市潮安区商用开水器产品质量监督抽查实施细则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