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snapToGrid w:val="0"/>
        <w:spacing w:line="240" w:lineRule="auto"/>
        <w:jc w:val="center"/>
        <w:outlineLvl w:val="9"/>
        <w:rPr>
          <w:rFonts w:hint="eastAsia" w:ascii="仿宋_GB2312" w:hAnsi="仿宋_GB2312" w:eastAsia="仿宋_GB2312" w:cs="仿宋_GB2312"/>
          <w:b/>
          <w:color w:val="000000"/>
          <w:sz w:val="36"/>
          <w:szCs w:val="36"/>
        </w:rPr>
      </w:pPr>
      <w:r>
        <w:rPr>
          <w:rFonts w:hint="eastAsia" w:ascii="仿宋_GB2312" w:hAnsi="仿宋_GB2312" w:eastAsia="仿宋_GB2312" w:cs="仿宋_GB2312"/>
          <w:b/>
          <w:color w:val="000000"/>
          <w:sz w:val="36"/>
          <w:szCs w:val="36"/>
        </w:rPr>
        <w:t>2020年潮州市潮安区液体加热器产品</w:t>
      </w:r>
    </w:p>
    <w:p>
      <w:pPr>
        <w:widowControl w:val="0"/>
        <w:wordWrap/>
        <w:snapToGrid w:val="0"/>
        <w:spacing w:line="240" w:lineRule="auto"/>
        <w:jc w:val="center"/>
        <w:outlineLvl w:val="9"/>
        <w:rPr>
          <w:rFonts w:hint="eastAsia" w:ascii="仿宋_GB2312" w:hAnsi="仿宋_GB2312" w:eastAsia="仿宋_GB2312" w:cs="仿宋_GB2312"/>
          <w:b/>
          <w:color w:val="000000"/>
          <w:sz w:val="36"/>
          <w:szCs w:val="36"/>
        </w:rPr>
      </w:pPr>
      <w:r>
        <w:rPr>
          <w:rFonts w:hint="eastAsia" w:ascii="仿宋_GB2312" w:hAnsi="仿宋_GB2312" w:eastAsia="仿宋_GB2312" w:cs="仿宋_GB2312"/>
          <w:b/>
          <w:color w:val="000000"/>
          <w:sz w:val="36"/>
          <w:szCs w:val="36"/>
        </w:rPr>
        <w:t>质量监督抽查实施细则</w:t>
      </w:r>
    </w:p>
    <w:p>
      <w:pPr>
        <w:widowControl w:val="0"/>
        <w:wordWrap/>
        <w:snapToGrid w:val="0"/>
        <w:spacing w:line="240" w:lineRule="auto"/>
        <w:outlineLvl w:val="9"/>
        <w:rPr>
          <w:rFonts w:hint="eastAsia" w:ascii="仿宋_GB2312" w:hAnsi="仿宋_GB2312" w:eastAsia="仿宋_GB2312" w:cs="仿宋_GB2312"/>
          <w:b/>
          <w:color w:val="000000"/>
          <w:sz w:val="32"/>
          <w:szCs w:val="32"/>
        </w:rPr>
      </w:pPr>
    </w:p>
    <w:p>
      <w:pPr>
        <w:widowControl w:val="0"/>
        <w:wordWrap/>
        <w:snapToGrid w:val="0"/>
        <w:spacing w:line="240" w:lineRule="auto"/>
        <w:outlineLvl w:val="9"/>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1范围</w:t>
      </w:r>
    </w:p>
    <w:p>
      <w:pPr>
        <w:widowControl w:val="0"/>
        <w:wordWrap/>
        <w:snapToGrid w:val="0"/>
        <w:spacing w:line="240" w:lineRule="auto"/>
        <w:ind w:firstLine="359" w:firstLineChars="171"/>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本细则适用于潮安区行政辖区内企业生产的液体加热器产品质量监督抽查。本细则内容包括产品分类、企业规模划分、检验依据、抽样、检验要求、判定原则、异议处理。</w:t>
      </w:r>
    </w:p>
    <w:p>
      <w:pPr>
        <w:widowControl w:val="0"/>
        <w:wordWrap/>
        <w:snapToGrid w:val="0"/>
        <w:spacing w:line="240" w:lineRule="auto"/>
        <w:outlineLvl w:val="9"/>
        <w:rPr>
          <w:rFonts w:hint="eastAsia" w:ascii="仿宋_GB2312" w:hAnsi="仿宋_GB2312" w:eastAsia="仿宋_GB2312" w:cs="仿宋_GB2312"/>
          <w:b/>
          <w:color w:val="000000"/>
          <w:sz w:val="32"/>
          <w:szCs w:val="32"/>
        </w:rPr>
      </w:pPr>
    </w:p>
    <w:p>
      <w:pPr>
        <w:widowControl w:val="0"/>
        <w:wordWrap/>
        <w:snapToGrid w:val="0"/>
        <w:spacing w:line="240" w:lineRule="auto"/>
        <w:outlineLvl w:val="9"/>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 产品分类</w:t>
      </w:r>
    </w:p>
    <w:p>
      <w:pPr>
        <w:widowControl w:val="0"/>
        <w:wordWrap/>
        <w:spacing w:line="240" w:lineRule="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2.1产品分类及代码见表1</w:t>
      </w:r>
    </w:p>
    <w:p>
      <w:pPr>
        <w:widowControl w:val="0"/>
        <w:wordWrap/>
        <w:spacing w:line="240" w:lineRule="auto"/>
        <w:ind w:firstLine="480" w:firstLineChars="200"/>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表1 产品分类及代码</w:t>
      </w:r>
    </w:p>
    <w:tbl>
      <w:tblPr>
        <w:tblStyle w:val="6"/>
        <w:tblW w:w="809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2132"/>
        <w:gridCol w:w="2131"/>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914"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firstLine="422" w:firstLineChars="200"/>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产品分类</w:t>
            </w:r>
          </w:p>
        </w:tc>
        <w:tc>
          <w:tcPr>
            <w:tcW w:w="213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一级分类</w:t>
            </w:r>
          </w:p>
        </w:tc>
        <w:tc>
          <w:tcPr>
            <w:tcW w:w="213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二级分类</w:t>
            </w:r>
          </w:p>
        </w:tc>
        <w:tc>
          <w:tcPr>
            <w:tcW w:w="1914"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914"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firstLine="42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分类代码</w:t>
            </w:r>
          </w:p>
        </w:tc>
        <w:tc>
          <w:tcPr>
            <w:tcW w:w="213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p>
        </w:tc>
        <w:tc>
          <w:tcPr>
            <w:tcW w:w="213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206</w:t>
            </w:r>
          </w:p>
        </w:tc>
        <w:tc>
          <w:tcPr>
            <w:tcW w:w="1914"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206.13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914"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firstLine="42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分类名称</w:t>
            </w:r>
          </w:p>
        </w:tc>
        <w:tc>
          <w:tcPr>
            <w:tcW w:w="213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电子电气</w:t>
            </w:r>
          </w:p>
        </w:tc>
        <w:tc>
          <w:tcPr>
            <w:tcW w:w="213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家用电器</w:t>
            </w:r>
          </w:p>
        </w:tc>
        <w:tc>
          <w:tcPr>
            <w:tcW w:w="1914"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液体加热器</w:t>
            </w:r>
          </w:p>
        </w:tc>
      </w:tr>
    </w:tbl>
    <w:p>
      <w:pPr>
        <w:widowControl w:val="0"/>
        <w:wordWrap/>
        <w:spacing w:line="240" w:lineRule="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 产品种类</w:t>
      </w:r>
    </w:p>
    <w:p>
      <w:pPr>
        <w:widowControl w:val="0"/>
        <w:wordWrap/>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液体加热器产品包括以下多种产品类型：电水壶、无绳电水壶、中药壶、电炖锅、电热杯（锅）等。</w:t>
      </w:r>
    </w:p>
    <w:p>
      <w:pPr>
        <w:widowControl w:val="0"/>
        <w:wordWrap/>
        <w:snapToGrid w:val="0"/>
        <w:spacing w:line="240" w:lineRule="auto"/>
        <w:outlineLvl w:val="9"/>
        <w:rPr>
          <w:rFonts w:hint="eastAsia" w:ascii="仿宋_GB2312" w:hAnsi="仿宋_GB2312" w:eastAsia="仿宋_GB2312" w:cs="仿宋_GB2312"/>
          <w:b/>
          <w:sz w:val="32"/>
          <w:szCs w:val="32"/>
        </w:rPr>
      </w:pPr>
    </w:p>
    <w:p>
      <w:pPr>
        <w:widowControl w:val="0"/>
        <w:wordWrap/>
        <w:snapToGrid w:val="0"/>
        <w:spacing w:line="240" w:lineRule="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  企业生产规模划分</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按照国家统计局《统计上大中小微型企业划分办法》划分。见表2</w:t>
      </w:r>
    </w:p>
    <w:p>
      <w:pPr>
        <w:widowControl w:val="0"/>
        <w:wordWrap/>
        <w:snapToGrid w:val="0"/>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表2企业生产规模划分方法</w:t>
      </w:r>
    </w:p>
    <w:tbl>
      <w:tblPr>
        <w:tblStyle w:val="6"/>
        <w:tblW w:w="879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
      <w:tblGrid>
        <w:gridCol w:w="1143"/>
        <w:gridCol w:w="1351"/>
        <w:gridCol w:w="700"/>
        <w:gridCol w:w="1110"/>
        <w:gridCol w:w="1802"/>
        <w:gridCol w:w="1619"/>
        <w:gridCol w:w="10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Ex>
        <w:trPr>
          <w:jc w:val="center"/>
        </w:trPr>
        <w:tc>
          <w:tcPr>
            <w:tcW w:w="114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行业名称</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指标名称</w:t>
            </w:r>
          </w:p>
        </w:tc>
        <w:tc>
          <w:tcPr>
            <w:tcW w:w="70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计量</w:t>
            </w:r>
          </w:p>
        </w:tc>
        <w:tc>
          <w:tcPr>
            <w:tcW w:w="11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大型</w:t>
            </w:r>
          </w:p>
        </w:tc>
        <w:tc>
          <w:tcPr>
            <w:tcW w:w="180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中型</w:t>
            </w:r>
          </w:p>
        </w:tc>
        <w:tc>
          <w:tcPr>
            <w:tcW w:w="1619"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小型</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微型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Ex>
        <w:trPr>
          <w:jc w:val="center"/>
        </w:trPr>
        <w:tc>
          <w:tcPr>
            <w:tcW w:w="1143" w:type="dxa"/>
            <w:vMerge w:val="restart"/>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工业</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从业人员(X)</w:t>
            </w:r>
          </w:p>
        </w:tc>
        <w:tc>
          <w:tcPr>
            <w:tcW w:w="70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1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X≥1000</w:t>
            </w:r>
          </w:p>
        </w:tc>
        <w:tc>
          <w:tcPr>
            <w:tcW w:w="180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300≤X＜1000</w:t>
            </w:r>
          </w:p>
        </w:tc>
        <w:tc>
          <w:tcPr>
            <w:tcW w:w="1619"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20≤X＜300</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X＜20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Ex>
        <w:trPr>
          <w:jc w:val="center"/>
        </w:trPr>
        <w:tc>
          <w:tcPr>
            <w:tcW w:w="1143" w:type="dxa"/>
            <w:vMerge w:val="continue"/>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营业收入(Y)</w:t>
            </w:r>
          </w:p>
        </w:tc>
        <w:tc>
          <w:tcPr>
            <w:tcW w:w="70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1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Y≥40000</w:t>
            </w:r>
          </w:p>
        </w:tc>
        <w:tc>
          <w:tcPr>
            <w:tcW w:w="180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2000≤Y＜40000</w:t>
            </w:r>
          </w:p>
        </w:tc>
        <w:tc>
          <w:tcPr>
            <w:tcW w:w="1619"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300≤Y＜2000</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Y＜300</w:t>
            </w:r>
          </w:p>
        </w:tc>
      </w:tr>
    </w:tbl>
    <w:p>
      <w:pPr>
        <w:widowControl w:val="0"/>
        <w:wordWrap/>
        <w:snapToGrid w:val="0"/>
        <w:spacing w:line="240" w:lineRule="auto"/>
        <w:ind w:firstLine="420" w:firstLineChars="200"/>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注：大型、中型和小型企业须同时满足所列指标的下限，否则下划一档。</w:t>
      </w:r>
    </w:p>
    <w:p>
      <w:pPr>
        <w:widowControl w:val="0"/>
        <w:wordWrap/>
        <w:snapToGrid w:val="0"/>
        <w:spacing w:line="240" w:lineRule="auto"/>
        <w:outlineLvl w:val="9"/>
        <w:rPr>
          <w:rFonts w:hint="eastAsia" w:ascii="仿宋_GB2312" w:hAnsi="仿宋_GB2312" w:eastAsia="仿宋_GB2312" w:cs="仿宋_GB2312"/>
          <w:b/>
          <w:sz w:val="32"/>
          <w:szCs w:val="32"/>
        </w:rPr>
      </w:pPr>
    </w:p>
    <w:p>
      <w:pPr>
        <w:widowControl w:val="0"/>
        <w:wordWrap/>
        <w:snapToGrid w:val="0"/>
        <w:spacing w:line="240" w:lineRule="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4  检验依据</w:t>
      </w:r>
    </w:p>
    <w:p>
      <w:pPr>
        <w:widowControl w:val="0"/>
        <w:wordWrap/>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凡是注日期的文件，其随后所有的修改单（不包括勘误的内容）或修订版不适用于本方案。凡是不注日期的文件，其最新版本适用于本方案。</w:t>
      </w:r>
    </w:p>
    <w:p>
      <w:pPr>
        <w:widowControl w:val="0"/>
        <w:wordWrap/>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GB4706.1-2005  家用和类似用途电器的安全第1部分:通用要求</w:t>
      </w:r>
    </w:p>
    <w:p>
      <w:pPr>
        <w:widowControl w:val="0"/>
        <w:wordWrap/>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GB4706.19-2008  家用和类似用途电器的安全液体加热器的特殊要求</w:t>
      </w:r>
    </w:p>
    <w:p>
      <w:pPr>
        <w:widowControl w:val="0"/>
        <w:wordWrap/>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4806.</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t>-2016</w:t>
      </w:r>
      <w:r>
        <w:rPr>
          <w:rFonts w:hint="eastAsia" w:ascii="仿宋_GB2312" w:hAnsi="仿宋_GB2312" w:eastAsia="仿宋_GB2312" w:cs="仿宋_GB2312"/>
          <w:sz w:val="32"/>
          <w:szCs w:val="32"/>
        </w:rPr>
        <w:t xml:space="preserve">  食品安全国家标准</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t>陶瓷制品</w:t>
      </w:r>
    </w:p>
    <w:p>
      <w:pPr>
        <w:widowControl w:val="0"/>
        <w:wordWrap/>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4806.</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t>-2016</w:t>
      </w:r>
      <w:r>
        <w:rPr>
          <w:rFonts w:hint="eastAsia" w:ascii="仿宋_GB2312" w:hAnsi="仿宋_GB2312" w:eastAsia="仿宋_GB2312" w:cs="仿宋_GB2312"/>
          <w:sz w:val="32"/>
          <w:szCs w:val="32"/>
        </w:rPr>
        <w:t xml:space="preserve">  食品安全国家标准</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t>玻璃制品</w:t>
      </w:r>
    </w:p>
    <w:p>
      <w:pPr>
        <w:widowControl w:val="0"/>
        <w:wordWrap/>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4806.9-2016</w:t>
      </w:r>
      <w:r>
        <w:rPr>
          <w:rFonts w:hint="eastAsia" w:ascii="仿宋_GB2312" w:hAnsi="仿宋_GB2312" w:eastAsia="仿宋_GB2312" w:cs="仿宋_GB2312"/>
          <w:sz w:val="32"/>
          <w:szCs w:val="32"/>
        </w:rPr>
        <w:t xml:space="preserve">  食品安全国家标准</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t>食品接触用金属材料及制品</w:t>
      </w:r>
    </w:p>
    <w:p>
      <w:pPr>
        <w:widowControl w:val="0"/>
        <w:wordWrap/>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4806.10-2016  食品安全国家标准 食品接触用涂料及涂层</w:t>
      </w:r>
    </w:p>
    <w:p>
      <w:pPr>
        <w:widowControl w:val="0"/>
        <w:wordWrap/>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T/GDAQI 020—2020产品质量监督抽查抽样检验技术服务规范</w:t>
      </w:r>
    </w:p>
    <w:p>
      <w:pPr>
        <w:widowControl w:val="0"/>
        <w:wordWrap/>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相关的法律法规、部门规章和规范</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现行有效的企业标准及产品明示质量要求</w:t>
      </w:r>
    </w:p>
    <w:p>
      <w:pPr>
        <w:widowControl w:val="0"/>
        <w:wordWrap/>
        <w:snapToGrid w:val="0"/>
        <w:spacing w:line="240" w:lineRule="auto"/>
        <w:outlineLvl w:val="9"/>
        <w:rPr>
          <w:rFonts w:hint="eastAsia" w:ascii="仿宋_GB2312" w:hAnsi="仿宋_GB2312" w:eastAsia="仿宋_GB2312" w:cs="仿宋_GB2312"/>
          <w:b/>
          <w:sz w:val="32"/>
          <w:szCs w:val="32"/>
        </w:rPr>
      </w:pPr>
    </w:p>
    <w:p>
      <w:pPr>
        <w:widowControl w:val="0"/>
        <w:wordWrap/>
        <w:snapToGrid w:val="0"/>
        <w:spacing w:line="240" w:lineRule="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5  抽样</w:t>
      </w:r>
    </w:p>
    <w:p>
      <w:pPr>
        <w:widowControl w:val="0"/>
        <w:wordWrap/>
        <w:snapToGrid w:val="0"/>
        <w:spacing w:line="240" w:lineRule="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5.1 抽样型号或规格</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抽取样品</w:t>
      </w:r>
      <w:r>
        <w:rPr>
          <w:rFonts w:hint="eastAsia" w:ascii="仿宋_GB2312" w:hAnsi="仿宋_GB2312" w:eastAsia="仿宋_GB2312" w:cs="仿宋_GB2312"/>
          <w:sz w:val="32"/>
          <w:szCs w:val="32"/>
        </w:rPr>
        <w:t>应为</w:t>
      </w:r>
      <w:r>
        <w:rPr>
          <w:rFonts w:hint="eastAsia" w:ascii="仿宋_GB2312" w:hAnsi="仿宋_GB2312" w:eastAsia="仿宋_GB2312" w:cs="仿宋_GB2312"/>
          <w:sz w:val="32"/>
          <w:szCs w:val="32"/>
        </w:rPr>
        <w:t>同一标准、</w:t>
      </w:r>
      <w:r>
        <w:rPr>
          <w:rFonts w:hint="eastAsia" w:ascii="仿宋_GB2312" w:hAnsi="仿宋_GB2312" w:eastAsia="仿宋_GB2312" w:cs="仿宋_GB2312"/>
          <w:sz w:val="32"/>
          <w:szCs w:val="32"/>
        </w:rPr>
        <w:t>同一型号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规格</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的产品。</w:t>
      </w:r>
    </w:p>
    <w:p>
      <w:pPr>
        <w:widowControl w:val="0"/>
        <w:wordWrap/>
        <w:snapToGrid w:val="0"/>
        <w:spacing w:line="240" w:lineRule="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5.2抽样方法、基数及数量</w:t>
      </w:r>
    </w:p>
    <w:p>
      <w:pPr>
        <w:widowControl w:val="0"/>
        <w:wordWrap/>
        <w:snapToGrid w:val="0"/>
        <w:spacing w:line="240" w:lineRule="auto"/>
        <w:ind w:firstLine="424" w:firstLineChars="202"/>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在企业的成品库内随机抽取有产品质量检验合格证明或者以其他形式表明合格的、近期生产的产品。</w:t>
      </w:r>
    </w:p>
    <w:p>
      <w:pPr>
        <w:widowControl w:val="0"/>
        <w:wordWrap/>
        <w:snapToGrid w:val="0"/>
        <w:spacing w:line="240" w:lineRule="auto"/>
        <w:ind w:firstLine="424" w:firstLineChars="202"/>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抽查样品基数满足抽样数量即可。</w:t>
      </w:r>
    </w:p>
    <w:p>
      <w:pPr>
        <w:widowControl w:val="0"/>
        <w:wordWrap/>
        <w:snapToGrid w:val="0"/>
        <w:spacing w:line="240" w:lineRule="auto"/>
        <w:ind w:firstLine="424" w:firstLineChars="202"/>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每批次产品抽取样品4台，其中3台作为检验样品，1台作为备用样品。</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随机数按标准TGDAQI 020—2020附录E中E</w:t>
      </w:r>
      <w:r>
        <w:rPr>
          <w:rFonts w:hint="eastAsia" w:ascii="仿宋_GB2312" w:hAnsi="仿宋_GB2312" w:eastAsia="仿宋_GB2312" w:cs="仿宋_GB2312"/>
          <w:sz w:val="32"/>
          <w:szCs w:val="32"/>
        </w:rPr>
        <w:t>.1.1使用随机数表，骰子或扑克牌等方法产生。</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5.3样品处置</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5.3.1</w:t>
      </w:r>
      <w:r>
        <w:rPr>
          <w:rFonts w:hint="eastAsia" w:ascii="仿宋_GB2312" w:hAnsi="仿宋_GB2312" w:eastAsia="仿宋_GB2312" w:cs="仿宋_GB2312"/>
          <w:sz w:val="32"/>
          <w:szCs w:val="32"/>
        </w:rPr>
        <w:t>检验样品和备用样品应分别签封，并寄、送至指定的检验机构。样品应采用防撞击、防潮包装、寄送样品时应防止刚烈碰撞而损坏样品，同时应有相应影像记录。</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5.3.2</w:t>
      </w:r>
      <w:r>
        <w:rPr>
          <w:rFonts w:hint="eastAsia" w:ascii="仿宋_GB2312" w:hAnsi="仿宋_GB2312" w:eastAsia="仿宋_GB2312" w:cs="仿宋_GB2312"/>
          <w:sz w:val="32"/>
          <w:szCs w:val="32"/>
        </w:rPr>
        <w:t>备样封存于检验机构。</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5.4抽样单</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5.4.1抽样单上产品名称应按照产品标识、铭牌、说明书、合格证等标注信息填写。若无产品标识、铭牌、说明书、合格证，或未标注产品名称的，可根据企业提供的产品信息填写，需在备注栏中注明“产品信息由企业提供”，并由企业签字确认。若标注的产品名称无法反映其真实属性，或使用俗名、简称时，应同时注明产品的“标识名称”和“标准名称”，或在备注栏中注明产品的“标准名称”；检验报告上的“产品名称”参照本条规定填写。若产品上未标注本次质量监督抽查检测标准时，可以根据企业实际生产情况在备注栏中注明相关执行标准并由企业确认。</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5.4.2产品检验所需的信息</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5.4.2.1对于产品检验所需的样品技术参数，需填写额定功率。需要受检单位提供的，应在抽样现场获取，并经受检单位确认。</w:t>
      </w:r>
    </w:p>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5.4.2.2产品或外包装上标注产品执行企业标准时，应填写在抽样单相应栏，并要求企业提供企业标准文本复印件（加盖企业公章），随样品送承检机构。</w:t>
      </w:r>
    </w:p>
    <w:p>
      <w:pPr>
        <w:widowControl w:val="0"/>
        <w:wordWrap/>
        <w:snapToGrid w:val="0"/>
        <w:spacing w:line="240" w:lineRule="auto"/>
        <w:outlineLvl w:val="9"/>
        <w:rPr>
          <w:rFonts w:hint="eastAsia" w:ascii="仿宋_GB2312" w:hAnsi="仿宋_GB2312" w:eastAsia="仿宋_GB2312" w:cs="仿宋_GB2312"/>
          <w:b/>
          <w:sz w:val="32"/>
          <w:szCs w:val="32"/>
        </w:rPr>
      </w:pPr>
    </w:p>
    <w:p>
      <w:pPr>
        <w:widowControl w:val="0"/>
        <w:wordWrap/>
        <w:snapToGrid w:val="0"/>
        <w:spacing w:line="240" w:lineRule="auto"/>
        <w:outlineLvl w:val="9"/>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6 检验要求</w:t>
      </w:r>
    </w:p>
    <w:p>
      <w:pPr>
        <w:widowControl w:val="0"/>
        <w:wordWrap/>
        <w:snapToGrid w:val="0"/>
        <w:spacing w:line="240" w:lineRule="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6.1</w:t>
      </w:r>
      <w:r>
        <w:rPr>
          <w:rFonts w:hint="eastAsia" w:ascii="仿宋_GB2312" w:hAnsi="仿宋_GB2312" w:eastAsia="仿宋_GB2312" w:cs="仿宋_GB2312"/>
          <w:color w:val="000000"/>
          <w:sz w:val="32"/>
          <w:szCs w:val="32"/>
        </w:rPr>
        <w:t>主要检验项目及检验项目属性划分</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见表3</w:t>
      </w:r>
      <w:r>
        <w:rPr>
          <w:rFonts w:hint="eastAsia" w:ascii="仿宋_GB2312" w:hAnsi="仿宋_GB2312" w:eastAsia="仿宋_GB2312" w:cs="仿宋_GB2312"/>
          <w:color w:val="000000"/>
          <w:sz w:val="32"/>
          <w:szCs w:val="32"/>
        </w:rPr>
        <w:t>）</w:t>
      </w:r>
    </w:p>
    <w:p>
      <w:pPr>
        <w:widowControl w:val="0"/>
        <w:wordWrap/>
        <w:snapToGrid w:val="0"/>
        <w:spacing w:line="240" w:lineRule="auto"/>
        <w:jc w:val="center"/>
        <w:outlineLvl w:val="9"/>
        <w:rPr>
          <w:rFonts w:hint="eastAsia" w:ascii="仿宋_GB2312" w:hAnsi="仿宋_GB2312" w:eastAsia="仿宋_GB2312" w:cs="仿宋_GB2312"/>
          <w:b/>
          <w:sz w:val="24"/>
          <w:szCs w:val="24"/>
        </w:rPr>
      </w:pPr>
    </w:p>
    <w:p>
      <w:pPr>
        <w:widowControl w:val="0"/>
        <w:wordWrap/>
        <w:snapToGrid w:val="0"/>
        <w:spacing w:line="240" w:lineRule="auto"/>
        <w:jc w:val="center"/>
        <w:outlineLvl w:val="9"/>
        <w:rPr>
          <w:rFonts w:hint="eastAsia" w:ascii="仿宋_GB2312" w:hAnsi="仿宋_GB2312" w:eastAsia="仿宋_GB2312" w:cs="仿宋_GB2312"/>
          <w:b/>
          <w:sz w:val="24"/>
          <w:szCs w:val="24"/>
        </w:rPr>
      </w:pPr>
    </w:p>
    <w:p>
      <w:pPr>
        <w:widowControl w:val="0"/>
        <w:wordWrap/>
        <w:snapToGrid w:val="0"/>
        <w:spacing w:line="240" w:lineRule="auto"/>
        <w:jc w:val="center"/>
        <w:outlineLvl w:val="9"/>
        <w:rPr>
          <w:rFonts w:hint="eastAsia" w:ascii="仿宋_GB2312" w:hAnsi="仿宋_GB2312" w:eastAsia="仿宋_GB2312" w:cs="仿宋_GB2312"/>
          <w:b/>
          <w:sz w:val="24"/>
          <w:szCs w:val="24"/>
        </w:rPr>
      </w:pPr>
    </w:p>
    <w:p>
      <w:pPr>
        <w:widowControl w:val="0"/>
        <w:wordWrap/>
        <w:snapToGrid w:val="0"/>
        <w:spacing w:line="240" w:lineRule="auto"/>
        <w:jc w:val="center"/>
        <w:outlineLvl w:val="9"/>
        <w:rPr>
          <w:rFonts w:hint="eastAsia" w:ascii="仿宋_GB2312" w:hAnsi="仿宋_GB2312" w:eastAsia="仿宋_GB2312" w:cs="仿宋_GB2312"/>
          <w:b/>
          <w:sz w:val="24"/>
          <w:szCs w:val="24"/>
        </w:rPr>
      </w:pPr>
    </w:p>
    <w:p>
      <w:pPr>
        <w:widowControl w:val="0"/>
        <w:wordWrap/>
        <w:snapToGrid w:val="0"/>
        <w:spacing w:line="240" w:lineRule="auto"/>
        <w:jc w:val="center"/>
        <w:outlineLvl w:val="9"/>
        <w:rPr>
          <w:rFonts w:hint="eastAsia" w:ascii="仿宋_GB2312" w:hAnsi="仿宋_GB2312" w:eastAsia="仿宋_GB2312" w:cs="仿宋_GB2312"/>
          <w:b/>
          <w:sz w:val="24"/>
          <w:szCs w:val="24"/>
        </w:rPr>
      </w:pPr>
    </w:p>
    <w:p>
      <w:pPr>
        <w:widowControl w:val="0"/>
        <w:wordWrap/>
        <w:snapToGrid w:val="0"/>
        <w:spacing w:line="240" w:lineRule="auto"/>
        <w:jc w:val="center"/>
        <w:outlineLvl w:val="9"/>
        <w:rPr>
          <w:rFonts w:hint="eastAsia" w:ascii="仿宋_GB2312" w:hAnsi="仿宋_GB2312" w:eastAsia="仿宋_GB2312" w:cs="仿宋_GB2312"/>
          <w:b/>
          <w:sz w:val="24"/>
          <w:szCs w:val="24"/>
        </w:rPr>
      </w:pPr>
    </w:p>
    <w:p>
      <w:pPr>
        <w:widowControl w:val="0"/>
        <w:wordWrap/>
        <w:snapToGrid w:val="0"/>
        <w:spacing w:line="240" w:lineRule="auto"/>
        <w:jc w:val="center"/>
        <w:outlineLvl w:val="9"/>
        <w:rPr>
          <w:rFonts w:hint="eastAsia" w:ascii="仿宋_GB2312" w:hAnsi="仿宋_GB2312" w:eastAsia="仿宋_GB2312" w:cs="仿宋_GB2312"/>
          <w:b/>
          <w:sz w:val="24"/>
          <w:szCs w:val="24"/>
        </w:rPr>
      </w:pPr>
    </w:p>
    <w:p>
      <w:pPr>
        <w:widowControl w:val="0"/>
        <w:wordWrap/>
        <w:snapToGrid w:val="0"/>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表3　主要检验项目及检验项目属性划分</w:t>
      </w:r>
    </w:p>
    <w:tbl>
      <w:tblPr>
        <w:tblStyle w:val="6"/>
        <w:tblW w:w="921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1"/>
        <w:gridCol w:w="465"/>
        <w:gridCol w:w="1815"/>
        <w:gridCol w:w="1274"/>
        <w:gridCol w:w="9"/>
        <w:gridCol w:w="2107"/>
        <w:gridCol w:w="628"/>
        <w:gridCol w:w="682"/>
        <w:gridCol w:w="823"/>
        <w:gridCol w:w="9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6" w:hRule="atLeast"/>
          <w:tblHeader/>
          <w:jc w:val="center"/>
        </w:trPr>
        <w:tc>
          <w:tcPr>
            <w:tcW w:w="461"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69" w:leftChars="-33"/>
              <w:jc w:val="center"/>
              <w:outlineLvl w:val="9"/>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序号</w:t>
            </w:r>
          </w:p>
        </w:tc>
        <w:tc>
          <w:tcPr>
            <w:tcW w:w="2280" w:type="dxa"/>
            <w:gridSpan w:val="2"/>
            <w:tcBorders>
              <w:top w:val="single" w:color="auto" w:sz="4" w:space="0"/>
              <w:left w:val="nil"/>
              <w:bottom w:val="single" w:color="auto" w:sz="4" w:space="0"/>
              <w:right w:val="single" w:color="auto" w:sz="4" w:space="0"/>
            </w:tcBorders>
            <w:vAlign w:val="center"/>
          </w:tcPr>
          <w:p>
            <w:pPr>
              <w:widowControl w:val="0"/>
              <w:wordWrap/>
              <w:adjustRightInd w:val="0"/>
              <w:snapToGrid w:val="0"/>
              <w:spacing w:line="240" w:lineRule="auto"/>
              <w:ind w:left="-69" w:leftChars="-33"/>
              <w:jc w:val="center"/>
              <w:outlineLvl w:val="9"/>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检验项目</w:t>
            </w:r>
          </w:p>
        </w:tc>
        <w:tc>
          <w:tcPr>
            <w:tcW w:w="1283" w:type="dxa"/>
            <w:gridSpan w:val="2"/>
            <w:tcBorders>
              <w:top w:val="single" w:color="auto" w:sz="4" w:space="0"/>
              <w:left w:val="nil"/>
              <w:bottom w:val="single" w:color="auto" w:sz="4" w:space="0"/>
              <w:right w:val="single" w:color="auto" w:sz="4" w:space="0"/>
            </w:tcBorders>
            <w:vAlign w:val="center"/>
          </w:tcPr>
          <w:p>
            <w:pPr>
              <w:widowControl w:val="0"/>
              <w:wordWrap/>
              <w:adjustRightInd w:val="0"/>
              <w:snapToGrid w:val="0"/>
              <w:spacing w:line="240" w:lineRule="auto"/>
              <w:ind w:left="-69" w:leftChars="-33"/>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bCs/>
                <w:color w:val="000000"/>
                <w:kern w:val="0"/>
                <w:sz w:val="24"/>
                <w:szCs w:val="24"/>
              </w:rPr>
              <w:t>依据法律法规或标准</w:t>
            </w:r>
          </w:p>
        </w:tc>
        <w:tc>
          <w:tcPr>
            <w:tcW w:w="2107" w:type="dxa"/>
            <w:tcBorders>
              <w:top w:val="single" w:color="auto" w:sz="4" w:space="0"/>
              <w:left w:val="nil"/>
              <w:bottom w:val="single" w:color="auto" w:sz="4" w:space="0"/>
              <w:right w:val="single" w:color="auto" w:sz="4" w:space="0"/>
            </w:tcBorders>
            <w:vAlign w:val="center"/>
          </w:tcPr>
          <w:p>
            <w:pPr>
              <w:widowControl w:val="0"/>
              <w:wordWrap/>
              <w:adjustRightInd w:val="0"/>
              <w:snapToGrid w:val="0"/>
              <w:spacing w:line="240" w:lineRule="auto"/>
              <w:ind w:left="-69" w:leftChars="-33"/>
              <w:jc w:val="center"/>
              <w:outlineLvl w:val="9"/>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检测方法</w:t>
            </w:r>
          </w:p>
        </w:tc>
        <w:tc>
          <w:tcPr>
            <w:tcW w:w="628"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强制性</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非强制性</w:t>
            </w:r>
          </w:p>
        </w:tc>
        <w:tc>
          <w:tcPr>
            <w:tcW w:w="823"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重要项</w:t>
            </w:r>
          </w:p>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(Ａ类)</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一般项</w:t>
            </w:r>
          </w:p>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b/>
                <w:bCs/>
                <w:color w:val="000000"/>
                <w:kern w:val="0"/>
                <w:sz w:val="24"/>
                <w:szCs w:val="24"/>
              </w:rPr>
              <w:t>(B类)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jc w:val="center"/>
        </w:trPr>
        <w:tc>
          <w:tcPr>
            <w:tcW w:w="46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280"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标志和说明</w:t>
            </w:r>
          </w:p>
        </w:tc>
        <w:tc>
          <w:tcPr>
            <w:tcW w:w="3390" w:type="dxa"/>
            <w:gridSpan w:val="3"/>
            <w:vMerge w:val="restart"/>
            <w:tcBorders>
              <w:top w:val="single" w:color="auto" w:sz="4" w:space="0"/>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GB4706.1-2005</w:t>
            </w:r>
          </w:p>
          <w:p>
            <w:pPr>
              <w:widowControl w:val="0"/>
              <w:wordWrap/>
              <w:spacing w:line="240" w:lineRule="auto"/>
              <w:jc w:val="left"/>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sz w:val="24"/>
                <w:szCs w:val="24"/>
              </w:rPr>
              <w:t>GB4706.19-2008</w:t>
            </w:r>
          </w:p>
        </w:tc>
        <w:tc>
          <w:tcPr>
            <w:tcW w:w="628"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6" w:hRule="atLeast"/>
          <w:jc w:val="center"/>
        </w:trPr>
        <w:tc>
          <w:tcPr>
            <w:tcW w:w="46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280"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输入功率和电流</w:t>
            </w:r>
          </w:p>
        </w:tc>
        <w:tc>
          <w:tcPr>
            <w:tcW w:w="3390" w:type="dxa"/>
            <w:gridSpan w:val="3"/>
            <w:vMerge w:val="continue"/>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628"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3" w:hRule="atLeast"/>
          <w:jc w:val="center"/>
        </w:trPr>
        <w:tc>
          <w:tcPr>
            <w:tcW w:w="46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280"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电源连接和外部软线</w:t>
            </w:r>
          </w:p>
        </w:tc>
        <w:tc>
          <w:tcPr>
            <w:tcW w:w="3390" w:type="dxa"/>
            <w:gridSpan w:val="3"/>
            <w:vMerge w:val="continue"/>
            <w:tcBorders>
              <w:left w:val="nil"/>
              <w:right w:val="single" w:color="auto" w:sz="4" w:space="0"/>
            </w:tcBorders>
            <w:vAlign w:val="center"/>
          </w:tcPr>
          <w:p>
            <w:pPr>
              <w:widowControl w:val="0"/>
              <w:wordWrap/>
              <w:adjustRightInd w:val="0"/>
              <w:snapToGrid w:val="0"/>
              <w:spacing w:line="240" w:lineRule="auto"/>
              <w:outlineLvl w:val="9"/>
              <w:rPr>
                <w:rFonts w:hint="eastAsia" w:ascii="仿宋_GB2312" w:hAnsi="仿宋_GB2312" w:eastAsia="仿宋_GB2312" w:cs="仿宋_GB2312"/>
                <w:bCs/>
                <w:color w:val="000000"/>
                <w:kern w:val="0"/>
                <w:sz w:val="24"/>
                <w:szCs w:val="24"/>
              </w:rPr>
            </w:pPr>
          </w:p>
        </w:tc>
        <w:tc>
          <w:tcPr>
            <w:tcW w:w="628"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280"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接地措施</w:t>
            </w:r>
          </w:p>
        </w:tc>
        <w:tc>
          <w:tcPr>
            <w:tcW w:w="3390" w:type="dxa"/>
            <w:gridSpan w:val="3"/>
            <w:vMerge w:val="continue"/>
            <w:tcBorders>
              <w:left w:val="nil"/>
              <w:bottom w:val="single" w:color="auto" w:sz="4" w:space="0"/>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restart"/>
            <w:tcBorders>
              <w:top w:val="single" w:color="auto" w:sz="4" w:space="0"/>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465" w:type="dxa"/>
            <w:vMerge w:val="restart"/>
            <w:tcBorders>
              <w:top w:val="single" w:color="auto" w:sz="4" w:space="0"/>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不锈钢</w:t>
            </w: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砷（As）迁移量</w:t>
            </w:r>
          </w:p>
        </w:tc>
        <w:tc>
          <w:tcPr>
            <w:tcW w:w="1283" w:type="dxa"/>
            <w:gridSpan w:val="2"/>
            <w:vMerge w:val="restart"/>
            <w:tcBorders>
              <w:top w:val="single" w:color="auto" w:sz="4" w:space="0"/>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sz w:val="24"/>
                <w:szCs w:val="24"/>
              </w:rPr>
              <w:t>GB 4806.9-2016</w:t>
            </w:r>
          </w:p>
        </w:tc>
        <w:tc>
          <w:tcPr>
            <w:tcW w:w="2107" w:type="dxa"/>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31604.38-2016</w:t>
            </w:r>
          </w:p>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31604.49-2016</w:t>
            </w:r>
          </w:p>
        </w:tc>
        <w:tc>
          <w:tcPr>
            <w:tcW w:w="628"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continue"/>
            <w:tcBorders>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465" w:type="dxa"/>
            <w:vMerge w:val="continue"/>
            <w:tcBorders>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镉（Cd）迁移量</w:t>
            </w:r>
          </w:p>
        </w:tc>
        <w:tc>
          <w:tcPr>
            <w:tcW w:w="1283" w:type="dxa"/>
            <w:gridSpan w:val="2"/>
            <w:vMerge w:val="continue"/>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2107" w:type="dxa"/>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31604.24-2016</w:t>
            </w:r>
          </w:p>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31604.49-2016</w:t>
            </w: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continue"/>
            <w:tcBorders>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465" w:type="dxa"/>
            <w:vMerge w:val="continue"/>
            <w:tcBorders>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铅（Pb）迁移量</w:t>
            </w:r>
          </w:p>
        </w:tc>
        <w:tc>
          <w:tcPr>
            <w:tcW w:w="1283" w:type="dxa"/>
            <w:gridSpan w:val="2"/>
            <w:vMerge w:val="continue"/>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2107" w:type="dxa"/>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31604.34-2016</w:t>
            </w:r>
          </w:p>
        </w:tc>
        <w:tc>
          <w:tcPr>
            <w:tcW w:w="628"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continue"/>
            <w:tcBorders>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465" w:type="dxa"/>
            <w:vMerge w:val="continue"/>
            <w:tcBorders>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铬（Cr）迁移量</w:t>
            </w:r>
          </w:p>
        </w:tc>
        <w:tc>
          <w:tcPr>
            <w:tcW w:w="1283" w:type="dxa"/>
            <w:gridSpan w:val="2"/>
            <w:vMerge w:val="continue"/>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2107" w:type="dxa"/>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31604.25-2016</w:t>
            </w:r>
          </w:p>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31604.49-2016</w:t>
            </w: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continue"/>
            <w:tcBorders>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465" w:type="dxa"/>
            <w:vMerge w:val="continue"/>
            <w:tcBorders>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镍（Ni）迁移量</w:t>
            </w:r>
          </w:p>
        </w:tc>
        <w:tc>
          <w:tcPr>
            <w:tcW w:w="1283" w:type="dxa"/>
            <w:gridSpan w:val="2"/>
            <w:vMerge w:val="continue"/>
            <w:tcBorders>
              <w:left w:val="nil"/>
              <w:bottom w:val="single" w:color="auto" w:sz="4" w:space="0"/>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2107" w:type="dxa"/>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31604.33-2016</w:t>
            </w:r>
          </w:p>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31604.49-2016</w:t>
            </w: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restart"/>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465" w:type="dxa"/>
            <w:vMerge w:val="restart"/>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陶瓷</w:t>
            </w: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镉（Cd）迁移量</w:t>
            </w:r>
          </w:p>
        </w:tc>
        <w:tc>
          <w:tcPr>
            <w:tcW w:w="3390" w:type="dxa"/>
            <w:gridSpan w:val="3"/>
            <w:vMerge w:val="restart"/>
            <w:tcBorders>
              <w:top w:val="single" w:color="auto" w:sz="4" w:space="0"/>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sz w:val="24"/>
                <w:szCs w:val="24"/>
              </w:rPr>
              <w:t>GB 4806.4-2016</w:t>
            </w: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continue"/>
            <w:tcBorders>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465" w:type="dxa"/>
            <w:vMerge w:val="continue"/>
            <w:tcBorders>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铅（Pb）迁移量</w:t>
            </w:r>
          </w:p>
        </w:tc>
        <w:tc>
          <w:tcPr>
            <w:tcW w:w="3390" w:type="dxa"/>
            <w:gridSpan w:val="3"/>
            <w:vMerge w:val="continue"/>
            <w:tcBorders>
              <w:left w:val="nil"/>
              <w:bottom w:val="single" w:color="auto" w:sz="4" w:space="0"/>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restart"/>
            <w:tcBorders>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465" w:type="dxa"/>
            <w:vMerge w:val="restart"/>
            <w:tcBorders>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玻璃</w:t>
            </w: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镉（Cd）迁移量</w:t>
            </w:r>
          </w:p>
        </w:tc>
        <w:tc>
          <w:tcPr>
            <w:tcW w:w="3390" w:type="dxa"/>
            <w:gridSpan w:val="3"/>
            <w:vMerge w:val="restart"/>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sz w:val="24"/>
                <w:szCs w:val="24"/>
              </w:rPr>
              <w:t>GB 4806.5-2016</w:t>
            </w: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continue"/>
            <w:tcBorders>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465" w:type="dxa"/>
            <w:vMerge w:val="continue"/>
            <w:tcBorders>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铅（Pb）迁移量</w:t>
            </w:r>
          </w:p>
        </w:tc>
        <w:tc>
          <w:tcPr>
            <w:tcW w:w="3390" w:type="dxa"/>
            <w:gridSpan w:val="3"/>
            <w:vMerge w:val="continue"/>
            <w:tcBorders>
              <w:left w:val="nil"/>
              <w:bottom w:val="single" w:color="auto" w:sz="4" w:space="0"/>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restart"/>
            <w:tcBorders>
              <w:top w:val="single" w:color="auto" w:sz="4" w:space="0"/>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465" w:type="dxa"/>
            <w:vMerge w:val="restart"/>
            <w:tcBorders>
              <w:top w:val="single" w:color="auto" w:sz="4" w:space="0"/>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带涂层产品</w:t>
            </w: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总迁移量（2个）</w:t>
            </w:r>
          </w:p>
        </w:tc>
        <w:tc>
          <w:tcPr>
            <w:tcW w:w="1274" w:type="dxa"/>
            <w:vMerge w:val="restart"/>
            <w:tcBorders>
              <w:top w:val="single" w:color="auto" w:sz="4" w:space="0"/>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sz w:val="24"/>
                <w:szCs w:val="24"/>
              </w:rPr>
              <w:t>GB 4806.10-2016</w:t>
            </w:r>
          </w:p>
        </w:tc>
        <w:tc>
          <w:tcPr>
            <w:tcW w:w="2116"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31604.8 -2016</w:t>
            </w: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continue"/>
            <w:tcBorders>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465" w:type="dxa"/>
            <w:vMerge w:val="continue"/>
            <w:tcBorders>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感官</w:t>
            </w:r>
          </w:p>
        </w:tc>
        <w:tc>
          <w:tcPr>
            <w:tcW w:w="1274" w:type="dxa"/>
            <w:vMerge w:val="continue"/>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2116"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4806.10-2016中4.2</w:t>
            </w: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continue"/>
            <w:tcBorders>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465" w:type="dxa"/>
            <w:vMerge w:val="continue"/>
            <w:tcBorders>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浸泡液</w:t>
            </w:r>
          </w:p>
        </w:tc>
        <w:tc>
          <w:tcPr>
            <w:tcW w:w="1274" w:type="dxa"/>
            <w:vMerge w:val="continue"/>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2116"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4806.10-2016中4.2</w:t>
            </w: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continue"/>
            <w:tcBorders>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465" w:type="dxa"/>
            <w:vMerge w:val="continue"/>
            <w:tcBorders>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高锰酸钾消耗量</w:t>
            </w:r>
          </w:p>
        </w:tc>
        <w:tc>
          <w:tcPr>
            <w:tcW w:w="1274" w:type="dxa"/>
            <w:vMerge w:val="continue"/>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2116"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31604.2-2016</w:t>
            </w: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461" w:type="dxa"/>
            <w:vMerge w:val="continue"/>
            <w:tcBorders>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465" w:type="dxa"/>
            <w:vMerge w:val="continue"/>
            <w:tcBorders>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815"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重金属(以Pb计)</w:t>
            </w:r>
          </w:p>
        </w:tc>
        <w:tc>
          <w:tcPr>
            <w:tcW w:w="1274" w:type="dxa"/>
            <w:vMerge w:val="continue"/>
            <w:tcBorders>
              <w:left w:val="nil"/>
              <w:bottom w:val="single" w:color="auto" w:sz="4" w:space="0"/>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2116"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31604.9 -2016</w:t>
            </w:r>
          </w:p>
        </w:tc>
        <w:tc>
          <w:tcPr>
            <w:tcW w:w="628"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bl>
    <w:p>
      <w:pPr>
        <w:widowControl w:val="0"/>
        <w:wordWrap/>
        <w:snapToGrid w:val="0"/>
        <w:spacing w:line="240" w:lineRule="auto"/>
        <w:ind w:firstLine="420" w:firstLineChars="200"/>
        <w:outlineLvl w:val="9"/>
        <w:rPr>
          <w:rFonts w:hint="eastAsia" w:ascii="仿宋_GB2312" w:hAnsi="仿宋_GB2312" w:eastAsia="仿宋_GB2312" w:cs="仿宋_GB2312"/>
          <w:sz w:val="32"/>
          <w:szCs w:val="32"/>
        </w:rPr>
      </w:pPr>
    </w:p>
    <w:p>
      <w:pPr>
        <w:widowControl w:val="0"/>
        <w:wordWrap/>
        <w:snapToGrid w:val="0"/>
        <w:spacing w:line="240" w:lineRule="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t>检验应注意的问题</w:t>
      </w:r>
    </w:p>
    <w:p>
      <w:pPr>
        <w:widowControl w:val="0"/>
        <w:wordWrap/>
        <w:snapToGrid w:val="0"/>
        <w:spacing w:line="240" w:lineRule="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6.2.1样品检验过程遵循如下原则：</w:t>
      </w:r>
    </w:p>
    <w:p>
      <w:pPr>
        <w:widowControl w:val="0"/>
        <w:wordWrap/>
        <w:snapToGrid w:val="0"/>
        <w:spacing w:line="240" w:lineRule="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当被检样品明示的质量要求优本细则中检验项目依据的标准要求时，应按被检样品明示的质量要求判定；</w:t>
      </w:r>
    </w:p>
    <w:p>
      <w:pPr>
        <w:widowControl w:val="0"/>
        <w:wordWrap/>
        <w:snapToGrid w:val="0"/>
        <w:spacing w:line="240" w:lineRule="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b) </w:t>
      </w:r>
      <w:r>
        <w:rPr>
          <w:rFonts w:hint="eastAsia" w:ascii="仿宋_GB2312" w:hAnsi="仿宋_GB2312" w:eastAsia="仿宋_GB2312" w:cs="仿宋_GB2312"/>
          <w:color w:val="000000"/>
          <w:sz w:val="32"/>
          <w:szCs w:val="32"/>
        </w:rPr>
        <w:t>当被检样品明示的质量要求劣于或不包含本细则中检验项目依据的强制性标准要求时，应按照强制性标准要求判定；</w:t>
      </w:r>
    </w:p>
    <w:p>
      <w:pPr>
        <w:widowControl w:val="0"/>
        <w:wordWrap/>
        <w:snapToGrid w:val="0"/>
        <w:spacing w:line="240" w:lineRule="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c</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当被检样品明示的质量要求劣于或包含本细则中检验项目依据的推荐性标准要求时，应以被检样品明示的质量要求判定，如相应检验结果不符合相关推荐性标准要求时，应在检验报告中予以说明；</w:t>
      </w:r>
    </w:p>
    <w:p>
      <w:pPr>
        <w:widowControl w:val="0"/>
        <w:wordWrap/>
        <w:snapToGrid w:val="0"/>
        <w:spacing w:line="240" w:lineRule="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d</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当被检样品明示的质量要求不包含本细则中检验项目依据的推荐性标准要求时，该项目不参与判定，但应在检验报告中作出说明；</w:t>
      </w:r>
    </w:p>
    <w:p>
      <w:pPr>
        <w:widowControl w:val="0"/>
        <w:wordWrap/>
        <w:snapToGrid w:val="0"/>
        <w:spacing w:line="240" w:lineRule="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e</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当被检样品未能提供有效的企业标准时，按相关国家或行业标准进行判定；</w:t>
      </w:r>
    </w:p>
    <w:p>
      <w:pPr>
        <w:widowControl w:val="0"/>
        <w:wordWrap/>
        <w:snapToGrid w:val="0"/>
        <w:spacing w:line="240" w:lineRule="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widowControl w:val="0"/>
        <w:wordWrap/>
        <w:snapToGrid w:val="0"/>
        <w:spacing w:line="240" w:lineRule="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按照产品质量相关法律法规的规定判定。</w:t>
      </w:r>
    </w:p>
    <w:p>
      <w:pPr>
        <w:widowControl w:val="0"/>
        <w:wordWrap/>
        <w:snapToGrid w:val="0"/>
        <w:spacing w:line="240" w:lineRule="auto"/>
        <w:ind w:firstLine="420" w:firstLineChars="200"/>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检验中发现因样品失效或者其他原因致使检验无法进行的，检验人员如实记录，并提供相关证明材料，报送组织监督抽查的市场监管部门。</w:t>
      </w:r>
    </w:p>
    <w:p>
      <w:pPr>
        <w:widowControl w:val="0"/>
        <w:wordWrap/>
        <w:snapToGrid w:val="0"/>
        <w:spacing w:line="240" w:lineRule="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2对样品检验前、检验中、检验后的记录，特别是影像记录的要求。</w:t>
      </w:r>
    </w:p>
    <w:p>
      <w:pPr>
        <w:widowControl w:val="0"/>
        <w:wordWrap/>
        <w:snapToGrid w:val="0"/>
        <w:spacing w:line="240" w:lineRule="auto"/>
        <w:ind w:firstLine="418" w:firstLineChars="199"/>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试验前，应对样品外观、标签进行拍照保存；检验过程应完整准确记录检验数据，并附检验依据，试验过程发现不合格项目，应对不合格部位及不合格状态进行拍照或录像进行记录，以备查验。</w:t>
      </w:r>
    </w:p>
    <w:p>
      <w:pPr>
        <w:widowControl w:val="0"/>
        <w:wordWrap/>
        <w:snapToGrid w:val="0"/>
        <w:spacing w:line="240" w:lineRule="auto"/>
        <w:outlineLvl w:val="9"/>
        <w:rPr>
          <w:rFonts w:hint="eastAsia" w:ascii="仿宋_GB2312" w:hAnsi="仿宋_GB2312" w:eastAsia="仿宋_GB2312" w:cs="仿宋_GB2312"/>
          <w:b/>
          <w:color w:val="000000"/>
          <w:sz w:val="32"/>
          <w:szCs w:val="32"/>
        </w:rPr>
      </w:pPr>
    </w:p>
    <w:p>
      <w:pPr>
        <w:widowControl w:val="0"/>
        <w:wordWrap/>
        <w:snapToGrid w:val="0"/>
        <w:spacing w:line="240" w:lineRule="auto"/>
        <w:outlineLvl w:val="9"/>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7判定原则</w:t>
      </w:r>
    </w:p>
    <w:p>
      <w:pPr>
        <w:widowControl w:val="0"/>
        <w:wordWrap/>
        <w:snapToGrid w:val="0"/>
        <w:spacing w:line="240" w:lineRule="auto"/>
        <w:ind w:firstLine="420" w:firstLineChars="200"/>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本细则未明确的监督抽查抽样检验相关技术规范，均按照《产品质量监督抽查管理暂行办法》（国家市场监督管理总局令第</w:t>
      </w:r>
      <w:r>
        <w:rPr>
          <w:rFonts w:hint="eastAsia"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rPr>
        <w:t>号）、《产品质量监督抽查抽样检验技术服务规范》（</w:t>
      </w:r>
      <w:r>
        <w:rPr>
          <w:rFonts w:hint="eastAsia" w:ascii="仿宋_GB2312" w:hAnsi="仿宋_GB2312" w:eastAsia="仿宋_GB2312" w:cs="仿宋_GB2312"/>
          <w:color w:val="000000"/>
          <w:sz w:val="32"/>
          <w:szCs w:val="32"/>
        </w:rPr>
        <w:t>T/GDAQI 020-2020</w:t>
      </w:r>
      <w:r>
        <w:rPr>
          <w:rFonts w:hint="eastAsia" w:ascii="仿宋_GB2312" w:hAnsi="仿宋_GB2312" w:eastAsia="仿宋_GB2312" w:cs="仿宋_GB2312"/>
          <w:color w:val="000000"/>
          <w:sz w:val="32"/>
          <w:szCs w:val="32"/>
        </w:rPr>
        <w:t>）规定执行。</w:t>
      </w:r>
    </w:p>
    <w:p>
      <w:pPr>
        <w:widowControl w:val="0"/>
        <w:wordWrap/>
        <w:snapToGrid w:val="0"/>
        <w:spacing w:line="240" w:lineRule="auto"/>
        <w:ind w:firstLine="420" w:firstLineChars="200"/>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如抽到的产品未标注有效执行标准、无法获得有效的标准文本、或采用的标准文本无本细则规定的检测项目，则按GB4706.1-2005 /GB/T 6952-2015/</w:t>
      </w:r>
      <w:r>
        <w:rPr>
          <w:rFonts w:hint="eastAsia" w:ascii="仿宋_GB2312" w:hAnsi="仿宋_GB2312" w:eastAsia="仿宋_GB2312" w:cs="仿宋_GB2312"/>
          <w:color w:val="000000"/>
          <w:sz w:val="32"/>
          <w:szCs w:val="32"/>
        </w:rPr>
        <w:t xml:space="preserve"> GB 4806.9-2016</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 xml:space="preserve"> GB 4806.</w:t>
      </w:r>
      <w:r>
        <w:rPr>
          <w:rFonts w:hint="eastAsia" w:ascii="仿宋_GB2312" w:hAnsi="仿宋_GB2312" w:eastAsia="仿宋_GB2312" w:cs="仿宋_GB2312"/>
          <w:color w:val="000000"/>
          <w:sz w:val="32"/>
          <w:szCs w:val="32"/>
        </w:rPr>
        <w:t>4-2016/</w:t>
      </w:r>
      <w:r>
        <w:rPr>
          <w:rFonts w:hint="eastAsia" w:ascii="仿宋_GB2312" w:hAnsi="仿宋_GB2312" w:eastAsia="仿宋_GB2312" w:cs="仿宋_GB2312"/>
          <w:color w:val="000000"/>
          <w:sz w:val="32"/>
          <w:szCs w:val="32"/>
        </w:rPr>
        <w:t xml:space="preserve"> GB 4806.</w:t>
      </w: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2016</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 xml:space="preserve"> GB 4806.</w:t>
      </w:r>
      <w:r>
        <w:rPr>
          <w:rFonts w:hint="eastAsia"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2016</w:t>
      </w:r>
      <w:r>
        <w:rPr>
          <w:rFonts w:hint="eastAsia" w:ascii="仿宋_GB2312" w:hAnsi="仿宋_GB2312" w:eastAsia="仿宋_GB2312" w:cs="仿宋_GB2312"/>
          <w:color w:val="000000"/>
          <w:sz w:val="32"/>
          <w:szCs w:val="32"/>
        </w:rPr>
        <w:t>进行检测。</w:t>
      </w:r>
    </w:p>
    <w:p>
      <w:pPr>
        <w:widowControl w:val="0"/>
        <w:wordWrap/>
        <w:snapToGrid w:val="0"/>
        <w:spacing w:line="240" w:lineRule="auto"/>
        <w:outlineLvl w:val="9"/>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8 异议处理</w:t>
      </w:r>
    </w:p>
    <w:p>
      <w:pPr>
        <w:widowControl w:val="0"/>
        <w:wordWrap/>
        <w:snapToGrid w:val="0"/>
        <w:spacing w:line="240" w:lineRule="auto"/>
        <w:ind w:firstLine="420" w:firstLineChars="200"/>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被抽样生产者对检验结论有异议的，应提出书面复检申请并阐明理由，向潮州市潮安区市场监督管理局提出，由潮州市潮安区市场监督管理局依法依规处理。</w:t>
      </w:r>
    </w:p>
    <w:p>
      <w:pPr>
        <w:widowControl w:val="0"/>
        <w:wordWrap/>
        <w:snapToGrid w:val="0"/>
        <w:spacing w:line="240" w:lineRule="auto"/>
        <w:ind w:firstLine="420" w:firstLineChars="200"/>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配合监管部门对判定不合格产品进行异议处理时，按以下方式进行：</w:t>
      </w:r>
    </w:p>
    <w:p>
      <w:pPr>
        <w:widowControl w:val="0"/>
        <w:wordWrap/>
        <w:snapToGrid w:val="0"/>
        <w:spacing w:line="240" w:lineRule="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8.1</w:t>
      </w:r>
      <w:r>
        <w:rPr>
          <w:rFonts w:hint="eastAsia" w:ascii="仿宋_GB2312" w:hAnsi="仿宋_GB2312" w:eastAsia="仿宋_GB2312" w:cs="仿宋_GB2312"/>
          <w:color w:val="000000"/>
          <w:sz w:val="32"/>
          <w:szCs w:val="32"/>
        </w:rPr>
        <w:t>核查不合格项目相关证据，能够以记录（纸质记录或电子记录或影像记录）或与不合格项目相关联的其它质量数据等检验证据证明。</w:t>
      </w:r>
    </w:p>
    <w:p>
      <w:pPr>
        <w:widowControl w:val="0"/>
        <w:wordWrap/>
        <w:snapToGrid w:val="0"/>
        <w:spacing w:line="240" w:lineRule="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8.2对需要复检并具备检验条件的，处理企业异议的市场监督管理部门或者指定检验机构</w:t>
      </w:r>
      <w:bookmarkStart w:id="0" w:name="_GoBack"/>
      <w:bookmarkEnd w:id="0"/>
      <w:r>
        <w:rPr>
          <w:rFonts w:hint="eastAsia" w:ascii="仿宋_GB2312" w:hAnsi="仿宋_GB2312" w:eastAsia="仿宋_GB2312" w:cs="仿宋_GB2312"/>
          <w:color w:val="000000"/>
          <w:sz w:val="32"/>
          <w:szCs w:val="32"/>
        </w:rPr>
        <w:t>应当按原抽查方案对备用样品组织复检，并出具检验报告。复检结论为最终结论。</w:t>
      </w:r>
    </w:p>
    <w:p>
      <w:pPr>
        <w:snapToGrid w:val="0"/>
        <w:spacing w:line="440" w:lineRule="exact"/>
        <w:rPr>
          <w:rFonts w:ascii="宋体" w:hAnsi="宋体"/>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0000000000000000000"/>
    <w:charset w:val="86"/>
    <w:family w:val="auto"/>
    <w:pitch w:val="default"/>
    <w:sig w:usb0="00000000" w:usb1="38CF7CFA" w:usb2="00000016" w:usb3="00000000" w:csb0="0004000F"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8105D"/>
    <w:rsid w:val="00007B14"/>
    <w:rsid w:val="00016264"/>
    <w:rsid w:val="00021731"/>
    <w:rsid w:val="000256D2"/>
    <w:rsid w:val="00037822"/>
    <w:rsid w:val="000569E1"/>
    <w:rsid w:val="0007004D"/>
    <w:rsid w:val="00073B2D"/>
    <w:rsid w:val="0008174E"/>
    <w:rsid w:val="000903FE"/>
    <w:rsid w:val="000B2BA9"/>
    <w:rsid w:val="000C55B8"/>
    <w:rsid w:val="0011057A"/>
    <w:rsid w:val="00175687"/>
    <w:rsid w:val="001849A7"/>
    <w:rsid w:val="00195919"/>
    <w:rsid w:val="001C3163"/>
    <w:rsid w:val="001C5B62"/>
    <w:rsid w:val="001F68B3"/>
    <w:rsid w:val="00201DF6"/>
    <w:rsid w:val="00212EFB"/>
    <w:rsid w:val="00213541"/>
    <w:rsid w:val="00235F4F"/>
    <w:rsid w:val="00246B17"/>
    <w:rsid w:val="0026526C"/>
    <w:rsid w:val="00290DF5"/>
    <w:rsid w:val="002A6DEA"/>
    <w:rsid w:val="002C19C8"/>
    <w:rsid w:val="002F7DA1"/>
    <w:rsid w:val="00302C71"/>
    <w:rsid w:val="00347D87"/>
    <w:rsid w:val="00355BAF"/>
    <w:rsid w:val="00373ED7"/>
    <w:rsid w:val="00382897"/>
    <w:rsid w:val="00397CE5"/>
    <w:rsid w:val="003B4CB8"/>
    <w:rsid w:val="003C5F11"/>
    <w:rsid w:val="003D3859"/>
    <w:rsid w:val="003F1021"/>
    <w:rsid w:val="0040008D"/>
    <w:rsid w:val="00403B8D"/>
    <w:rsid w:val="0042012B"/>
    <w:rsid w:val="00423F1B"/>
    <w:rsid w:val="00432074"/>
    <w:rsid w:val="00442095"/>
    <w:rsid w:val="00455B26"/>
    <w:rsid w:val="00465F57"/>
    <w:rsid w:val="0047210F"/>
    <w:rsid w:val="004A1FAE"/>
    <w:rsid w:val="004A30F8"/>
    <w:rsid w:val="004C46AB"/>
    <w:rsid w:val="004C61DF"/>
    <w:rsid w:val="004E690F"/>
    <w:rsid w:val="00514DCC"/>
    <w:rsid w:val="00582E4E"/>
    <w:rsid w:val="00583333"/>
    <w:rsid w:val="005A410B"/>
    <w:rsid w:val="005B3F82"/>
    <w:rsid w:val="005C2B9E"/>
    <w:rsid w:val="00613D9E"/>
    <w:rsid w:val="006175C0"/>
    <w:rsid w:val="00622039"/>
    <w:rsid w:val="00622484"/>
    <w:rsid w:val="00635E1F"/>
    <w:rsid w:val="00641157"/>
    <w:rsid w:val="006556EF"/>
    <w:rsid w:val="006570F9"/>
    <w:rsid w:val="00675E7A"/>
    <w:rsid w:val="0069061C"/>
    <w:rsid w:val="006C79EF"/>
    <w:rsid w:val="006E0C20"/>
    <w:rsid w:val="006E583A"/>
    <w:rsid w:val="007074AF"/>
    <w:rsid w:val="00747BBC"/>
    <w:rsid w:val="007C60DC"/>
    <w:rsid w:val="007F5590"/>
    <w:rsid w:val="00812FC9"/>
    <w:rsid w:val="008222C6"/>
    <w:rsid w:val="008576F1"/>
    <w:rsid w:val="00863DB3"/>
    <w:rsid w:val="00881A65"/>
    <w:rsid w:val="00882082"/>
    <w:rsid w:val="0088336C"/>
    <w:rsid w:val="00885101"/>
    <w:rsid w:val="008A4817"/>
    <w:rsid w:val="008E6B0E"/>
    <w:rsid w:val="008F291D"/>
    <w:rsid w:val="00935CFE"/>
    <w:rsid w:val="009402E5"/>
    <w:rsid w:val="009463E8"/>
    <w:rsid w:val="00957945"/>
    <w:rsid w:val="00961C61"/>
    <w:rsid w:val="009751B7"/>
    <w:rsid w:val="009968D8"/>
    <w:rsid w:val="009A0FC9"/>
    <w:rsid w:val="009B2311"/>
    <w:rsid w:val="009C43BC"/>
    <w:rsid w:val="009F1A73"/>
    <w:rsid w:val="00A131BA"/>
    <w:rsid w:val="00A3233C"/>
    <w:rsid w:val="00A9108F"/>
    <w:rsid w:val="00AA1E55"/>
    <w:rsid w:val="00AB112B"/>
    <w:rsid w:val="00AE02FA"/>
    <w:rsid w:val="00B0682D"/>
    <w:rsid w:val="00B07479"/>
    <w:rsid w:val="00B13557"/>
    <w:rsid w:val="00B72EE4"/>
    <w:rsid w:val="00B8105D"/>
    <w:rsid w:val="00BA576C"/>
    <w:rsid w:val="00BB5231"/>
    <w:rsid w:val="00BC64B2"/>
    <w:rsid w:val="00BE0562"/>
    <w:rsid w:val="00C350B0"/>
    <w:rsid w:val="00C50797"/>
    <w:rsid w:val="00CB068D"/>
    <w:rsid w:val="00CB2FC1"/>
    <w:rsid w:val="00CC0ABF"/>
    <w:rsid w:val="00CD039C"/>
    <w:rsid w:val="00CF6AFC"/>
    <w:rsid w:val="00D067C0"/>
    <w:rsid w:val="00D21451"/>
    <w:rsid w:val="00D37EA3"/>
    <w:rsid w:val="00D5364D"/>
    <w:rsid w:val="00D57FA4"/>
    <w:rsid w:val="00D6354A"/>
    <w:rsid w:val="00D77750"/>
    <w:rsid w:val="00DA02A8"/>
    <w:rsid w:val="00DA3053"/>
    <w:rsid w:val="00DC29CB"/>
    <w:rsid w:val="00DD731E"/>
    <w:rsid w:val="00E013C4"/>
    <w:rsid w:val="00E75A46"/>
    <w:rsid w:val="00E9082B"/>
    <w:rsid w:val="00EB0999"/>
    <w:rsid w:val="00EB137E"/>
    <w:rsid w:val="00EC0E0C"/>
    <w:rsid w:val="00EE13FB"/>
    <w:rsid w:val="00EF3B69"/>
    <w:rsid w:val="00F01308"/>
    <w:rsid w:val="00F43098"/>
    <w:rsid w:val="00F60257"/>
    <w:rsid w:val="00F6513F"/>
    <w:rsid w:val="00F71445"/>
    <w:rsid w:val="00FA6989"/>
    <w:rsid w:val="00FB4366"/>
    <w:rsid w:val="00FE34C6"/>
    <w:rsid w:val="00FF08D6"/>
    <w:rsid w:val="153B27CA"/>
    <w:rsid w:val="5E9E3F2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Plain Text"/>
    <w:basedOn w:val="1"/>
    <w:link w:val="10"/>
    <w:uiPriority w:val="0"/>
    <w:rPr>
      <w:rFonts w:ascii="宋体" w:hAnsi="Courier New" w:cs="Courier New"/>
      <w:szCs w:val="21"/>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99"/>
    <w:pPr>
      <w:ind w:firstLine="420" w:firstLineChars="200"/>
    </w:pPr>
  </w:style>
  <w:style w:type="character" w:customStyle="1" w:styleId="8">
    <w:name w:val="页眉 Char"/>
    <w:link w:val="4"/>
    <w:uiPriority w:val="99"/>
    <w:rPr>
      <w:rFonts w:ascii="Calibri" w:hAnsi="Calibri" w:eastAsia="宋体" w:cs="Times New Roman"/>
      <w:sz w:val="18"/>
      <w:szCs w:val="18"/>
    </w:rPr>
  </w:style>
  <w:style w:type="character" w:customStyle="1" w:styleId="9">
    <w:name w:val="页脚 Char"/>
    <w:link w:val="3"/>
    <w:uiPriority w:val="99"/>
    <w:rPr>
      <w:rFonts w:ascii="Calibri" w:hAnsi="Calibri" w:eastAsia="宋体" w:cs="Times New Roman"/>
      <w:sz w:val="18"/>
      <w:szCs w:val="18"/>
    </w:rPr>
  </w:style>
  <w:style w:type="character" w:customStyle="1" w:styleId="10">
    <w:name w:val="纯文本 Char"/>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641</Words>
  <Characters>3654</Characters>
  <Lines>30</Lines>
  <Paragraphs>8</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2020-03-17T01:56:00Z</dcterms:created>
  <dc:creator>Windows 用户</dc:creator>
  <cp:lastModifiedBy>蔡林生</cp:lastModifiedBy>
  <dcterms:modified xsi:type="dcterms:W3CDTF">2020-06-05T01:18:04Z</dcterms:modified>
  <dc:title>2020年潮州市潮安区液体加热器产品质量监督抽查实施细则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