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360" w:lineRule="auto"/>
        <w:jc w:val="center"/>
        <w:rPr>
          <w:rFonts w:hint="eastAsia" w:ascii="仿宋_GB2312" w:hAnsi="仿宋_GB2312" w:eastAsia="仿宋_GB2312" w:cs="仿宋_GB2312"/>
          <w:b/>
          <w:spacing w:val="-20"/>
          <w:kern w:val="10"/>
          <w:sz w:val="36"/>
          <w:szCs w:val="36"/>
        </w:rPr>
      </w:pPr>
      <w:r>
        <w:rPr>
          <w:rFonts w:hint="eastAsia" w:ascii="仿宋_GB2312" w:hAnsi="仿宋_GB2312" w:eastAsia="仿宋_GB2312" w:cs="仿宋_GB2312"/>
          <w:b/>
          <w:spacing w:val="-20"/>
          <w:kern w:val="10"/>
          <w:sz w:val="36"/>
          <w:szCs w:val="36"/>
        </w:rPr>
        <w:t>2020年潮州市潮安区食品包装膜、袋产品质量</w:t>
      </w:r>
    </w:p>
    <w:p>
      <w:pPr>
        <w:snapToGrid w:val="0"/>
        <w:spacing w:line="360" w:lineRule="auto"/>
        <w:jc w:val="center"/>
        <w:rPr>
          <w:rFonts w:hint="eastAsia" w:ascii="仿宋_GB2312" w:hAnsi="仿宋_GB2312" w:eastAsia="仿宋_GB2312" w:cs="仿宋_GB2312"/>
          <w:spacing w:val="-20"/>
          <w:kern w:val="10"/>
          <w:sz w:val="36"/>
          <w:szCs w:val="36"/>
        </w:rPr>
      </w:pPr>
      <w:r>
        <w:rPr>
          <w:rFonts w:hint="eastAsia" w:ascii="仿宋_GB2312" w:hAnsi="仿宋_GB2312" w:eastAsia="仿宋_GB2312" w:cs="仿宋_GB2312"/>
          <w:b/>
          <w:spacing w:val="-20"/>
          <w:kern w:val="10"/>
          <w:sz w:val="36"/>
          <w:szCs w:val="36"/>
        </w:rPr>
        <w:t>监督抽查实施细则</w:t>
      </w:r>
    </w:p>
    <w:p>
      <w:pPr>
        <w:snapToGrid w:val="0"/>
        <w:spacing w:line="440" w:lineRule="exact"/>
        <w:rPr>
          <w:rFonts w:hint="eastAsia" w:ascii="仿宋_GB2312" w:hAnsi="仿宋_GB2312" w:eastAsia="仿宋_GB2312" w:cs="仿宋_GB2312"/>
          <w:b/>
          <w:bCs/>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 适用范围</w:t>
      </w:r>
    </w:p>
    <w:p>
      <w:pPr>
        <w:snapToGrid w:val="0"/>
        <w:spacing w:line="44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本细则适用于潮州市潮安区行政辖区内企业生产的食品包装膜、袋产品质量监督抽查。本细则内容包括产品分类、企业规模划分、检验依据、抽样、检验要求、判定原则、异议处理。</w:t>
      </w:r>
    </w:p>
    <w:p>
      <w:pPr>
        <w:snapToGrid w:val="0"/>
        <w:spacing w:line="440" w:lineRule="exact"/>
        <w:ind w:firstLine="420" w:firstLineChars="200"/>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 产品分类</w:t>
      </w:r>
    </w:p>
    <w:p>
      <w:pPr>
        <w:spacing w:line="360" w:lineRule="auto"/>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2.1 产品分类及代码(见表1)</w:t>
      </w:r>
    </w:p>
    <w:p>
      <w:pPr>
        <w:spacing w:line="360" w:lineRule="auto"/>
        <w:ind w:left="375"/>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表1　产品分类及代码</w:t>
      </w:r>
    </w:p>
    <w:tbl>
      <w:tblPr>
        <w:tblStyle w:val="6"/>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3"/>
        <w:gridCol w:w="1699"/>
        <w:gridCol w:w="2836"/>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703"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产品分类</w:t>
            </w:r>
          </w:p>
        </w:tc>
        <w:tc>
          <w:tcPr>
            <w:tcW w:w="1699"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一级分类</w:t>
            </w:r>
          </w:p>
        </w:tc>
        <w:tc>
          <w:tcPr>
            <w:tcW w:w="2836"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二级分类</w:t>
            </w:r>
          </w:p>
        </w:tc>
        <w:tc>
          <w:tcPr>
            <w:tcW w:w="2669"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70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分类代码</w:t>
            </w:r>
          </w:p>
        </w:tc>
        <w:tc>
          <w:tcPr>
            <w:tcW w:w="169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83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209</w:t>
            </w:r>
          </w:p>
        </w:tc>
        <w:tc>
          <w:tcPr>
            <w:tcW w:w="266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70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分类名称</w:t>
            </w:r>
          </w:p>
        </w:tc>
        <w:tc>
          <w:tcPr>
            <w:tcW w:w="169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日用消费品</w:t>
            </w:r>
          </w:p>
        </w:tc>
        <w:tc>
          <w:tcPr>
            <w:tcW w:w="283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食品用塑料包装物及工具</w:t>
            </w:r>
          </w:p>
        </w:tc>
        <w:tc>
          <w:tcPr>
            <w:tcW w:w="266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食品用塑料包装膜、袋</w:t>
            </w:r>
          </w:p>
        </w:tc>
      </w:tr>
    </w:tbl>
    <w:p>
      <w:pPr>
        <w:spacing w:line="360" w:lineRule="auto"/>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2.2 产品种类</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食品包装膜、袋的产品，分为：</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10004-2008包装用塑料复合膜、袋 干法复合、挤出复合(含耐蒸煮复合膜、袋)；</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QB/T 1871-1993双向拉伸尼龙（BOPA）/低密度聚乙烯(LDPE)复合膜、袋； </w:t>
      </w:r>
    </w:p>
    <w:p>
      <w:pPr>
        <w:spacing w:line="360" w:lineRule="auto"/>
        <w:ind w:firstLine="360"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其他塑料复合包装膜、袋</w:t>
      </w:r>
      <w:r>
        <w:rPr>
          <w:rFonts w:hint="eastAsia" w:ascii="仿宋_GB2312" w:hAnsi="仿宋_GB2312" w:eastAsia="仿宋_GB2312" w:cs="仿宋_GB2312"/>
          <w:color w:val="000000"/>
          <w:kern w:val="0"/>
          <w:sz w:val="32"/>
          <w:szCs w:val="32"/>
        </w:rPr>
        <w:t>(企业标准)</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3企业规模划分</w:t>
      </w:r>
    </w:p>
    <w:p>
      <w:pPr>
        <w:snapToGrid w:val="0"/>
        <w:spacing w:line="440" w:lineRule="exact"/>
        <w:ind w:firstLine="403" w:firstLineChars="19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根据产品行业的实际情况，生产企业规模以产品年销售额为标准划分为大、中、小型企业。见表2。</w:t>
      </w:r>
    </w:p>
    <w:p>
      <w:pPr>
        <w:snapToGrid w:val="0"/>
        <w:spacing w:line="440" w:lineRule="exact"/>
        <w:ind w:firstLine="403" w:firstLineChars="192"/>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表2  企业规模划分</w:t>
      </w:r>
    </w:p>
    <w:tbl>
      <w:tblPr>
        <w:tblStyle w:val="6"/>
        <w:tblW w:w="90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8"/>
        <w:gridCol w:w="1383"/>
        <w:gridCol w:w="717"/>
        <w:gridCol w:w="1136"/>
        <w:gridCol w:w="1718"/>
        <w:gridCol w:w="1783"/>
        <w:gridCol w:w="10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1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行业名称</w:t>
            </w:r>
          </w:p>
        </w:tc>
        <w:tc>
          <w:tcPr>
            <w:tcW w:w="13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指标名称</w:t>
            </w:r>
          </w:p>
        </w:tc>
        <w:tc>
          <w:tcPr>
            <w:tcW w:w="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计量</w:t>
            </w:r>
          </w:p>
        </w:tc>
        <w:tc>
          <w:tcPr>
            <w:tcW w:w="11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大型</w:t>
            </w:r>
          </w:p>
        </w:tc>
        <w:tc>
          <w:tcPr>
            <w:tcW w:w="17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中型</w:t>
            </w:r>
          </w:p>
        </w:tc>
        <w:tc>
          <w:tcPr>
            <w:tcW w:w="17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小型</w:t>
            </w:r>
          </w:p>
        </w:tc>
        <w:tc>
          <w:tcPr>
            <w:tcW w:w="109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atLeast"/>
          <w:jc w:val="center"/>
        </w:trPr>
        <w:tc>
          <w:tcPr>
            <w:tcW w:w="11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工业</w:t>
            </w:r>
          </w:p>
        </w:tc>
        <w:tc>
          <w:tcPr>
            <w:tcW w:w="13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从业人员(X)</w:t>
            </w:r>
          </w:p>
        </w:tc>
        <w:tc>
          <w:tcPr>
            <w:tcW w:w="7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1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X≥1000</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300≤X＜1000</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20≤X＜300</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jc w:val="center"/>
        </w:trPr>
        <w:tc>
          <w:tcPr>
            <w:tcW w:w="11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营业收入(Y)</w:t>
            </w:r>
          </w:p>
        </w:tc>
        <w:tc>
          <w:tcPr>
            <w:tcW w:w="7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1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Y≥40000</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2000≤Y＜40000</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300≤Y＜2000</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Y＜300</w:t>
            </w:r>
          </w:p>
        </w:tc>
      </w:tr>
    </w:tbl>
    <w:p>
      <w:pPr>
        <w:snapToGrid w:val="0"/>
        <w:spacing w:line="440" w:lineRule="exact"/>
        <w:ind w:firstLine="346" w:firstLineChars="19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注：大型、中型和小型企业须同时满足所列指标的下限，否则下划一档。</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sz w:val="32"/>
          <w:szCs w:val="32"/>
        </w:rPr>
      </w:pPr>
      <w:r>
        <w:rPr>
          <w:rFonts w:hint="eastAsia" w:ascii="仿宋_GB2312" w:hAnsi="仿宋_GB2312" w:eastAsia="仿宋_GB2312" w:cs="仿宋_GB2312"/>
          <w:b/>
          <w:bCs/>
          <w:color w:val="000000"/>
          <w:sz w:val="32"/>
          <w:szCs w:val="32"/>
        </w:rPr>
        <w:t>4检验依据</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b/>
          <w:sz w:val="32"/>
          <w:szCs w:val="32"/>
        </w:rPr>
        <w:t xml:space="preserve">   </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31604.30-2016 《食品安全国家标准  食品接触材料及制品  邻苯二甲酸酯的测定和迁移量的测定》；</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10004-2008包装用塑料复合膜、袋 干法复合、挤出复合(含耐蒸煮复合膜、袋)；</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T/GDAQI 020-2020 产品质量监督抽查抽样检验技术服务规范</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《食品用塑料包装容器工具等制品生产许可实施细则》</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现行有效的企业标准及产品明示质量指标和要求；</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5抽样</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5.1 抽样型号或规格</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应抽取同一类产品的某一规格作为抽查样品。</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5.2 抽样方法、基数及数量</w:t>
      </w:r>
    </w:p>
    <w:p>
      <w:pPr>
        <w:adjustRightInd w:val="0"/>
        <w:snapToGrid w:val="0"/>
        <w:spacing w:line="520" w:lineRule="exact"/>
        <w:ind w:firstLine="48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在企业成品库抽样时，抽样方法、基数、数量及样品处置见下表3。</w:t>
      </w:r>
    </w:p>
    <w:p>
      <w:pPr>
        <w:snapToGrid w:val="0"/>
        <w:spacing w:line="440" w:lineRule="exact"/>
        <w:ind w:firstLine="403" w:firstLineChars="192"/>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表3   食品包装膜、袋产品抽样方法</w:t>
      </w:r>
    </w:p>
    <w:tbl>
      <w:tblPr>
        <w:tblStyle w:val="6"/>
        <w:tblW w:w="8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2693"/>
        <w:gridCol w:w="4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blHeader/>
          <w:jc w:val="center"/>
        </w:trPr>
        <w:tc>
          <w:tcPr>
            <w:tcW w:w="1289"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2693"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产品品种</w:t>
            </w:r>
          </w:p>
        </w:tc>
        <w:tc>
          <w:tcPr>
            <w:tcW w:w="4065"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128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69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食品包装膜</w:t>
            </w:r>
          </w:p>
        </w:tc>
        <w:tc>
          <w:tcPr>
            <w:tcW w:w="406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抽取2×2.5m</w:t>
            </w:r>
            <w:r>
              <w:rPr>
                <w:rFonts w:hint="eastAsia" w:ascii="仿宋_GB2312" w:hAnsi="仿宋_GB2312" w:eastAsia="仿宋_GB2312" w:cs="仿宋_GB2312"/>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1289"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693"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食品包装袋</w:t>
            </w:r>
          </w:p>
        </w:tc>
        <w:tc>
          <w:tcPr>
            <w:tcW w:w="406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抽取2×25个</w:t>
            </w:r>
          </w:p>
        </w:tc>
      </w:tr>
    </w:tbl>
    <w:p>
      <w:pPr>
        <w:spacing w:line="360" w:lineRule="auto"/>
        <w:ind w:firstLine="315" w:firstLineChars="150"/>
        <w:jc w:val="left"/>
        <w:rPr>
          <w:rFonts w:hint="eastAsia" w:ascii="仿宋_GB2312" w:hAnsi="仿宋_GB2312" w:eastAsia="仿宋_GB2312" w:cs="仿宋_GB2312"/>
          <w:color w:val="000000"/>
          <w:sz w:val="32"/>
          <w:szCs w:val="32"/>
        </w:rPr>
      </w:pP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5.3样品处置</w:t>
      </w:r>
    </w:p>
    <w:p>
      <w:pPr>
        <w:adjustRightInd w:val="0"/>
        <w:snapToGrid w:val="0"/>
        <w:spacing w:line="520" w:lineRule="exact"/>
        <w:ind w:firstLine="42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5.3.1样品抽取后应用袋子进行包装加封，封样时应当有防拆封措施，以保证样品的真实性。检验用样品及备用(复检)样品应分别封样。</w:t>
      </w:r>
      <w:r>
        <w:rPr>
          <w:rFonts w:hint="eastAsia" w:ascii="仿宋_GB2312" w:hAnsi="仿宋_GB2312" w:eastAsia="仿宋_GB2312" w:cs="仿宋_GB2312"/>
          <w:color w:val="000000"/>
          <w:kern w:val="0"/>
          <w:sz w:val="32"/>
          <w:szCs w:val="32"/>
        </w:rPr>
        <w:t>封样后的样品要在现场拍照作为证据。样品运送时应防止剧烈碰撞损坏样品。备用样品封存于检验机构。备用样品仅在检验样品因运输过程或检验损坏时启用。</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5.3.2样品到达检验机构后,接收人负责检查、记录样品的外观、状态、封样单有无破损及其他可能对检测结果或者综合判定产生影响的情况，并确认样品与抽样单的记录是否相符，对检验和备用样品分别加贴标识后保存。</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5.4抽样单</w:t>
      </w:r>
    </w:p>
    <w:p>
      <w:pPr>
        <w:spacing w:line="360" w:lineRule="auto"/>
        <w:ind w:firstLine="315" w:firstLineChars="15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应按有关规定填写抽样单，并记录被抽查产品及企业相关信息。</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6 检验项目（见表3）</w:t>
      </w:r>
    </w:p>
    <w:p>
      <w:pPr>
        <w:snapToGrid w:val="0"/>
        <w:spacing w:line="440" w:lineRule="exact"/>
        <w:ind w:firstLine="403" w:firstLineChars="192"/>
        <w:jc w:val="center"/>
        <w:rPr>
          <w:rFonts w:hint="eastAsia" w:ascii="仿宋_GB2312" w:hAnsi="仿宋_GB2312" w:eastAsia="仿宋_GB2312" w:cs="仿宋_GB2312"/>
          <w:color w:val="000000"/>
          <w:sz w:val="32"/>
          <w:szCs w:val="32"/>
        </w:rPr>
      </w:pPr>
    </w:p>
    <w:p>
      <w:pPr>
        <w:snapToGrid w:val="0"/>
        <w:spacing w:line="440" w:lineRule="exact"/>
        <w:ind w:firstLine="403" w:firstLineChars="192"/>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表4食品包装膜、袋检验项目</w:t>
      </w:r>
    </w:p>
    <w:tbl>
      <w:tblPr>
        <w:tblStyle w:val="6"/>
        <w:tblW w:w="8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3675"/>
        <w:gridCol w:w="1851"/>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exact"/>
          <w:jc w:val="center"/>
        </w:trPr>
        <w:tc>
          <w:tcPr>
            <w:tcW w:w="688"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3675"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检验项目</w:t>
            </w:r>
          </w:p>
        </w:tc>
        <w:tc>
          <w:tcPr>
            <w:tcW w:w="1851" w:type="dxa"/>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依据法律法规</w:t>
            </w:r>
          </w:p>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或标准条款</w:t>
            </w:r>
          </w:p>
        </w:tc>
        <w:tc>
          <w:tcPr>
            <w:tcW w:w="2027" w:type="dxa"/>
            <w:vAlign w:val="center"/>
          </w:tcPr>
          <w:p>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邻苯二甲酸二甲酯（DMP）</w:t>
            </w:r>
          </w:p>
        </w:tc>
        <w:tc>
          <w:tcPr>
            <w:tcW w:w="1851" w:type="dxa"/>
            <w:vMerge w:val="restart"/>
            <w:vAlign w:val="center"/>
          </w:tcPr>
          <w:p>
            <w:pPr>
              <w:jc w:val="center"/>
              <w:rPr>
                <w:rFonts w:hint="eastAsia" w:ascii="仿宋_GB2312" w:hAnsi="仿宋_GB2312" w:eastAsia="仿宋_GB2312" w:cs="仿宋_GB2312"/>
                <w:sz w:val="24"/>
                <w:szCs w:val="24"/>
              </w:rPr>
            </w:pPr>
          </w:p>
        </w:tc>
        <w:tc>
          <w:tcPr>
            <w:tcW w:w="2027" w:type="dxa"/>
            <w:vMerge w:val="restar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邻苯二甲酸二乙酯（DEP）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邻苯二甲酸二烯丙酯（DAP）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邻苯二甲酸二异丁酯（DIBP）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邻苯二甲酸二丁酯（DBP）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邻苯二甲酸二（2-甲氧基）乙酯（DMEP）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邻苯二甲酸二（4-甲基-2-戊基）酯（BMPP）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邻苯二甲酸二（2-乙氧基）乙酯（DEEP）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邻苯二甲酸二戊酯（DPP）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邻苯二甲酸二己酯（DHXP）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邻苯二甲酸丁基苄基酯（BBP）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邻苯二甲酸二（2-丁氧基）乙酯（DBEP）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邻苯二甲酸二环己酯（DCHP）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邻苯二甲酸二（2-乙基）己酯（DEHP）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邻苯二甲酸二苯酯（DPhP）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邻苯二甲酸二正辛酯（DNOP）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邻苯二甲酸二异壬酯（DINP）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邻苯二甲酸二壬酯（DNP）</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Merge w:val="continue"/>
            <w:vAlign w:val="center"/>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溶剂残留总量</w:t>
            </w:r>
          </w:p>
        </w:tc>
        <w:tc>
          <w:tcPr>
            <w:tcW w:w="1851" w:type="dxa"/>
            <w:vMerge w:val="restar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食品用塑料包装容器工具等制品生产许可实施细则或企业标准</w:t>
            </w:r>
          </w:p>
        </w:tc>
        <w:tc>
          <w:tcPr>
            <w:tcW w:w="202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88"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367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苯类溶剂残留量*3</w:t>
            </w:r>
          </w:p>
        </w:tc>
        <w:tc>
          <w:tcPr>
            <w:tcW w:w="1851" w:type="dxa"/>
            <w:vMerge w:val="continue"/>
            <w:vAlign w:val="center"/>
          </w:tcPr>
          <w:p>
            <w:pPr>
              <w:jc w:val="center"/>
              <w:rPr>
                <w:rFonts w:hint="eastAsia" w:ascii="仿宋_GB2312" w:hAnsi="仿宋_GB2312" w:eastAsia="仿宋_GB2312" w:cs="仿宋_GB2312"/>
                <w:sz w:val="24"/>
                <w:szCs w:val="24"/>
              </w:rPr>
            </w:pPr>
          </w:p>
        </w:tc>
        <w:tc>
          <w:tcPr>
            <w:tcW w:w="202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10004-2008</w:t>
            </w:r>
          </w:p>
        </w:tc>
      </w:tr>
    </w:tbl>
    <w:p>
      <w:pPr>
        <w:snapToGrid w:val="0"/>
        <w:spacing w:line="4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注意： ①本次邻苯二甲酸酯项目检测，不做迁移量测定，其结果不做评判；</w:t>
      </w:r>
    </w:p>
    <w:p>
      <w:pPr>
        <w:snapToGrid w:val="0"/>
        <w:spacing w:line="440" w:lineRule="exact"/>
        <w:ind w:firstLine="630" w:firstLineChars="3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②接收样品应当有专人负责检查、记录样品的外观、状态、封条有无破损及其他可能对检测结果或者综合判定产生影响的情况，并确认样品与抽样单的记录是否相符，加贴相应标识后入库；</w:t>
      </w:r>
    </w:p>
    <w:p>
      <w:pPr>
        <w:snapToGrid w:val="0"/>
        <w:spacing w:line="440" w:lineRule="exact"/>
        <w:ind w:firstLine="630" w:firstLineChars="3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③项目检验后，不合格样品应保留。</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6.2检验应注意的问题</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7判定原则</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本细则未明确的监督抽查抽样检验相关技术规范，均按照《产品质量监督抽查管理暂行办法》（国家市场监督管理总局令第18号）、《产品质量监督抽查抽样检验技术服务规范》（T/GDAQI 020-2020）规定执行。</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如抽到的产品未标注有效执行标准、无法获得有效的标准文本、或采用的标准文本无本细则规定的检测项目，则按GB 31604.30-2016 / GB/T 10004-2008进行检测。</w:t>
      </w:r>
    </w:p>
    <w:p>
      <w:pPr>
        <w:snapToGrid w:val="0"/>
        <w:spacing w:line="440" w:lineRule="exact"/>
        <w:rPr>
          <w:rFonts w:hint="eastAsia" w:ascii="仿宋_GB2312" w:hAnsi="仿宋_GB2312" w:eastAsia="仿宋_GB2312" w:cs="仿宋_GB2312"/>
          <w:color w:val="000000"/>
          <w:sz w:val="32"/>
          <w:szCs w:val="32"/>
        </w:rPr>
      </w:pPr>
    </w:p>
    <w:p>
      <w:pPr>
        <w:snapToGrid w:val="0"/>
        <w:spacing w:line="440" w:lineRule="exac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8异议处理复检</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被抽样生产者对检验结论有异议的，应提出书面复检申请并阐明理由，向潮州市潮安区市场监督管理局提出，由潮州市潮安区市场监督管理局依法依规处理。</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对被判定为不合格产品进</w:t>
      </w:r>
      <w:bookmarkStart w:id="0" w:name="_GoBack"/>
      <w:bookmarkEnd w:id="0"/>
      <w:r>
        <w:rPr>
          <w:rFonts w:hint="eastAsia" w:ascii="仿宋_GB2312" w:hAnsi="仿宋_GB2312" w:eastAsia="仿宋_GB2312" w:cs="仿宋_GB2312"/>
          <w:color w:val="000000"/>
          <w:sz w:val="32"/>
          <w:szCs w:val="32"/>
        </w:rPr>
        <w:t>行复检时，按以下方式进行：</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8.1核查不合格项目相关证据，能够以记录（纸质记录或电子记录或影像记录）、检验后缺陷特征样品、与不合格质量数据相关联的其他质量数据等检验证据证明。</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8.2需对不合格项目进行复检时，可以在原样上检验的在原样上复检，不可以在原样上检验的采用备用样复检。当复检结果仍不合格，维持原检验结果不变。当复检结果合格，以复检结果为准。</w:t>
      </w:r>
    </w:p>
    <w:p>
      <w:pPr>
        <w:adjustRightInd w:val="0"/>
        <w:snapToGrid w:val="0"/>
        <w:spacing w:line="520" w:lineRule="exact"/>
        <w:ind w:firstLine="42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8.3溶剂残留量项目不合格不进行复检。</w:t>
      </w:r>
    </w:p>
    <w:p>
      <w:pPr>
        <w:snapToGrid w:val="0"/>
        <w:spacing w:line="440" w:lineRule="exact"/>
        <w:rPr>
          <w:rFonts w:hint="eastAsia" w:ascii="仿宋_GB2312" w:hAnsi="仿宋_GB2312" w:eastAsia="仿宋_GB2312" w:cs="仿宋_GB2312"/>
          <w:color w:val="000000"/>
          <w:szCs w:val="21"/>
        </w:rPr>
      </w:pPr>
    </w:p>
    <w:p>
      <w:pPr>
        <w:rPr>
          <w:rFonts w:hint="eastAsia" w:ascii="仿宋_GB2312" w:hAnsi="仿宋_GB2312" w:eastAsia="仿宋_GB2312" w:cs="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E344A"/>
    <w:rsid w:val="00062D14"/>
    <w:rsid w:val="000C08CD"/>
    <w:rsid w:val="00111855"/>
    <w:rsid w:val="00131F44"/>
    <w:rsid w:val="0016591F"/>
    <w:rsid w:val="0017069A"/>
    <w:rsid w:val="00173E9B"/>
    <w:rsid w:val="001C6397"/>
    <w:rsid w:val="001F7D83"/>
    <w:rsid w:val="002248B4"/>
    <w:rsid w:val="00295CF8"/>
    <w:rsid w:val="002B11C9"/>
    <w:rsid w:val="002B2EF7"/>
    <w:rsid w:val="002B5320"/>
    <w:rsid w:val="002F7778"/>
    <w:rsid w:val="00383259"/>
    <w:rsid w:val="003968C2"/>
    <w:rsid w:val="003C5A9E"/>
    <w:rsid w:val="003D52F8"/>
    <w:rsid w:val="003D7ABD"/>
    <w:rsid w:val="003F5AF5"/>
    <w:rsid w:val="00450CC2"/>
    <w:rsid w:val="00452989"/>
    <w:rsid w:val="00452B69"/>
    <w:rsid w:val="004B2208"/>
    <w:rsid w:val="004B6B02"/>
    <w:rsid w:val="004D5142"/>
    <w:rsid w:val="004F07B5"/>
    <w:rsid w:val="00506AA2"/>
    <w:rsid w:val="00525CB9"/>
    <w:rsid w:val="00556226"/>
    <w:rsid w:val="0057127F"/>
    <w:rsid w:val="00591012"/>
    <w:rsid w:val="005E0F46"/>
    <w:rsid w:val="00602D28"/>
    <w:rsid w:val="00617528"/>
    <w:rsid w:val="00620B72"/>
    <w:rsid w:val="00665C57"/>
    <w:rsid w:val="006666C2"/>
    <w:rsid w:val="006A3331"/>
    <w:rsid w:val="006B7378"/>
    <w:rsid w:val="006E1632"/>
    <w:rsid w:val="00710D6A"/>
    <w:rsid w:val="0071246D"/>
    <w:rsid w:val="00740401"/>
    <w:rsid w:val="00790E3B"/>
    <w:rsid w:val="00794FC4"/>
    <w:rsid w:val="007D7DD5"/>
    <w:rsid w:val="00821E11"/>
    <w:rsid w:val="008B6ADC"/>
    <w:rsid w:val="008C0EE0"/>
    <w:rsid w:val="008D6D1B"/>
    <w:rsid w:val="00903EFB"/>
    <w:rsid w:val="00920710"/>
    <w:rsid w:val="00930819"/>
    <w:rsid w:val="009408A0"/>
    <w:rsid w:val="009902C3"/>
    <w:rsid w:val="009E6B89"/>
    <w:rsid w:val="00A33AF5"/>
    <w:rsid w:val="00A43A4B"/>
    <w:rsid w:val="00A644EC"/>
    <w:rsid w:val="00A87423"/>
    <w:rsid w:val="00AE185E"/>
    <w:rsid w:val="00AE5202"/>
    <w:rsid w:val="00B0414D"/>
    <w:rsid w:val="00B43CCA"/>
    <w:rsid w:val="00B57624"/>
    <w:rsid w:val="00B614E1"/>
    <w:rsid w:val="00B629C7"/>
    <w:rsid w:val="00B82FEF"/>
    <w:rsid w:val="00BD339E"/>
    <w:rsid w:val="00BE344A"/>
    <w:rsid w:val="00BE3C9C"/>
    <w:rsid w:val="00BE72E2"/>
    <w:rsid w:val="00C05C99"/>
    <w:rsid w:val="00C14AC7"/>
    <w:rsid w:val="00C54CF5"/>
    <w:rsid w:val="00C732EE"/>
    <w:rsid w:val="00CF5E53"/>
    <w:rsid w:val="00D30F5B"/>
    <w:rsid w:val="00D42495"/>
    <w:rsid w:val="00DC5C32"/>
    <w:rsid w:val="00DE586C"/>
    <w:rsid w:val="00E02AC8"/>
    <w:rsid w:val="00E17AF0"/>
    <w:rsid w:val="00E24D30"/>
    <w:rsid w:val="00E51602"/>
    <w:rsid w:val="00E61516"/>
    <w:rsid w:val="00E75E40"/>
    <w:rsid w:val="00E9382A"/>
    <w:rsid w:val="00EA1808"/>
    <w:rsid w:val="00EB0FEA"/>
    <w:rsid w:val="00EB5A7B"/>
    <w:rsid w:val="00F15C76"/>
    <w:rsid w:val="00F73A31"/>
    <w:rsid w:val="00F75E61"/>
    <w:rsid w:val="00F848E7"/>
    <w:rsid w:val="00FB7329"/>
    <w:rsid w:val="00FE34DE"/>
    <w:rsid w:val="00FE4415"/>
    <w:rsid w:val="00FF5909"/>
    <w:rsid w:val="1A8821F0"/>
    <w:rsid w:val="2AE01AC0"/>
    <w:rsid w:val="4D790781"/>
    <w:rsid w:val="53707359"/>
    <w:rsid w:val="5CE770A8"/>
  </w:rsids>
  <w:doNotAutoCompressPicture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Plain Text"/>
    <w:basedOn w:val="1"/>
    <w:link w:val="9"/>
    <w:uiPriority w:val="0"/>
    <w:rPr>
      <w:rFonts w:ascii="宋体" w:hAnsi="Courier New" w:cs="Courier New"/>
      <w:szCs w:val="21"/>
    </w:r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locked/>
    <w:uiPriority w:val="99"/>
    <w:rPr>
      <w:rFonts w:cs="Times New Roman"/>
      <w:sz w:val="18"/>
      <w:szCs w:val="18"/>
    </w:rPr>
  </w:style>
  <w:style w:type="character" w:customStyle="1" w:styleId="8">
    <w:name w:val="页脚 Char"/>
    <w:basedOn w:val="5"/>
    <w:link w:val="3"/>
    <w:semiHidden/>
    <w:locked/>
    <w:uiPriority w:val="99"/>
    <w:rPr>
      <w:rFonts w:cs="Times New Roman"/>
      <w:sz w:val="18"/>
      <w:szCs w:val="18"/>
    </w:rPr>
  </w:style>
  <w:style w:type="character" w:customStyle="1" w:styleId="9">
    <w:name w:val="纯文本 Char"/>
    <w:basedOn w:val="5"/>
    <w:link w:val="2"/>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488</Words>
  <Characters>2787</Characters>
  <Lines>23</Lines>
  <Paragraphs>6</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2018-10-22T08:16:00Z</dcterms:created>
  <dc:creator>Administrator</dc:creator>
  <cp:lastModifiedBy>蔡林生</cp:lastModifiedBy>
  <cp:lastPrinted>2019-11-15T03:46:00Z</cp:lastPrinted>
  <dcterms:modified xsi:type="dcterms:W3CDTF">2020-06-05T01:13:28Z</dcterms:modified>
  <dc:title>2017年潮安区食品包装膜、袋产品质量定期监督检验实施细则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