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auto"/>
        <w:jc w:val="center"/>
        <w:rPr>
          <w:rFonts w:ascii="仿宋_GB2312"/>
          <w:b/>
          <w:spacing w:val="-20"/>
          <w:kern w:val="10"/>
          <w:sz w:val="36"/>
          <w:szCs w:val="36"/>
        </w:rPr>
      </w:pPr>
      <w:r>
        <w:rPr>
          <w:rFonts w:hint="eastAsia" w:ascii="仿宋_GB2312"/>
          <w:b/>
          <w:spacing w:val="-20"/>
          <w:kern w:val="10"/>
          <w:sz w:val="36"/>
          <w:szCs w:val="36"/>
        </w:rPr>
        <w:t>2020年潮州市潮安区食品用塑料容器、工具产品质量</w:t>
      </w:r>
    </w:p>
    <w:p>
      <w:pPr>
        <w:snapToGrid w:val="0"/>
        <w:spacing w:line="360" w:lineRule="auto"/>
        <w:jc w:val="center"/>
        <w:rPr>
          <w:rFonts w:ascii="仿宋_GB2312" w:eastAsia="仿宋_GB2312"/>
          <w:spacing w:val="-20"/>
          <w:kern w:val="10"/>
          <w:sz w:val="32"/>
          <w:szCs w:val="32"/>
        </w:rPr>
      </w:pPr>
      <w:r>
        <w:rPr>
          <w:rFonts w:hint="eastAsia" w:ascii="仿宋_GB2312"/>
          <w:b/>
          <w:spacing w:val="-20"/>
          <w:kern w:val="10"/>
          <w:sz w:val="36"/>
          <w:szCs w:val="36"/>
        </w:rPr>
        <w:t>监督抽查实施细则</w:t>
      </w:r>
    </w:p>
    <w:p>
      <w:pPr>
        <w:snapToGrid w:val="0"/>
        <w:spacing w:line="440" w:lineRule="exact"/>
        <w:rPr>
          <w:rFonts w:ascii="黑体" w:hAnsi="宋体" w:eastAsia="黑体"/>
          <w:color w:val="000000"/>
          <w:szCs w:val="21"/>
        </w:rPr>
      </w:pPr>
      <w:r>
        <w:rPr>
          <w:rFonts w:ascii="黑体" w:hAnsi="宋体" w:eastAsia="黑体"/>
          <w:color w:val="000000"/>
          <w:szCs w:val="21"/>
        </w:rPr>
        <w:t xml:space="preserve">1 </w:t>
      </w:r>
      <w:r>
        <w:rPr>
          <w:rFonts w:hint="eastAsia" w:ascii="黑体" w:hAnsi="宋体" w:eastAsia="黑体"/>
          <w:color w:val="000000"/>
          <w:szCs w:val="21"/>
        </w:rPr>
        <w:t>适用范围</w:t>
      </w:r>
    </w:p>
    <w:p>
      <w:pPr>
        <w:snapToGrid w:val="0"/>
        <w:spacing w:line="440" w:lineRule="exact"/>
        <w:ind w:firstLine="420" w:firstLineChars="200"/>
        <w:rPr>
          <w:rFonts w:ascii="宋体" w:hAnsi="宋体"/>
          <w:color w:val="000000"/>
          <w:szCs w:val="21"/>
        </w:rPr>
      </w:pPr>
      <w:r>
        <w:rPr>
          <w:rFonts w:hint="eastAsia" w:ascii="宋体" w:hAnsi="宋体"/>
          <w:color w:val="000000"/>
        </w:rPr>
        <w:t>本细则适用于潮州市潮安区行政辖区内企业生产的</w:t>
      </w:r>
      <w:r>
        <w:rPr>
          <w:rFonts w:hint="eastAsia" w:ascii="宋体" w:hAnsi="宋体"/>
          <w:color w:val="000000"/>
          <w:szCs w:val="21"/>
        </w:rPr>
        <w:t>食品用塑料容器、工具产品</w:t>
      </w:r>
      <w:r>
        <w:rPr>
          <w:rFonts w:hint="eastAsia" w:ascii="宋体" w:hAnsi="宋体"/>
          <w:color w:val="000000"/>
        </w:rPr>
        <w:t>质量监督抽查。</w:t>
      </w:r>
      <w:r>
        <w:rPr>
          <w:rFonts w:hint="eastAsia" w:ascii="宋体" w:hAnsi="宋体"/>
          <w:color w:val="000000"/>
          <w:szCs w:val="21"/>
        </w:rPr>
        <w:t>本细则内容包括产品分类、企业规模划分、检验依据、抽样、检验要求、判定原则、异议处理。</w:t>
      </w:r>
    </w:p>
    <w:p>
      <w:pPr>
        <w:snapToGrid w:val="0"/>
        <w:spacing w:line="440" w:lineRule="exact"/>
        <w:ind w:firstLine="420" w:firstLineChars="200"/>
        <w:rPr>
          <w:rFonts w:ascii="宋体" w:hAnsi="宋体"/>
          <w:color w:val="000000"/>
          <w:szCs w:val="21"/>
        </w:rPr>
      </w:pPr>
      <w:bookmarkStart w:id="0" w:name="_GoBack"/>
      <w:bookmarkEnd w:id="0"/>
    </w:p>
    <w:p>
      <w:pPr>
        <w:snapToGrid w:val="0"/>
        <w:spacing w:line="440" w:lineRule="exact"/>
        <w:rPr>
          <w:rFonts w:ascii="黑体" w:hAnsi="宋体" w:eastAsia="黑体"/>
          <w:color w:val="000000"/>
          <w:szCs w:val="21"/>
        </w:rPr>
      </w:pPr>
      <w:r>
        <w:rPr>
          <w:rFonts w:ascii="黑体" w:hAnsi="宋体" w:eastAsia="黑体"/>
          <w:color w:val="000000"/>
          <w:szCs w:val="21"/>
        </w:rPr>
        <w:t xml:space="preserve">2 </w:t>
      </w:r>
      <w:r>
        <w:rPr>
          <w:rFonts w:hint="eastAsia" w:ascii="黑体" w:hAnsi="宋体" w:eastAsia="黑体"/>
          <w:color w:val="000000"/>
          <w:szCs w:val="21"/>
        </w:rPr>
        <w:t>产品分类</w:t>
      </w:r>
    </w:p>
    <w:p>
      <w:pPr>
        <w:spacing w:line="360" w:lineRule="auto"/>
        <w:jc w:val="left"/>
        <w:rPr>
          <w:rFonts w:ascii="Times New Roman" w:hAnsi="Times New Roman"/>
          <w:color w:val="000000"/>
          <w:szCs w:val="24"/>
        </w:rPr>
      </w:pPr>
      <w:r>
        <w:rPr>
          <w:rFonts w:ascii="Times New Roman" w:hAnsi="Times New Roman"/>
          <w:color w:val="000000"/>
          <w:szCs w:val="24"/>
        </w:rPr>
        <w:t xml:space="preserve">2.1 </w:t>
      </w:r>
      <w:r>
        <w:rPr>
          <w:rFonts w:hint="eastAsia" w:ascii="Times New Roman" w:hAnsi="Times New Roman"/>
          <w:color w:val="000000"/>
          <w:szCs w:val="24"/>
        </w:rPr>
        <w:t>产品分类及代码</w:t>
      </w:r>
      <w:r>
        <w:rPr>
          <w:rFonts w:ascii="Times New Roman" w:hAnsi="Times New Roman"/>
          <w:color w:val="000000"/>
          <w:szCs w:val="24"/>
        </w:rPr>
        <w:t>(</w:t>
      </w:r>
      <w:r>
        <w:rPr>
          <w:rFonts w:hint="eastAsia" w:ascii="Times New Roman" w:hAnsi="Times New Roman"/>
          <w:color w:val="000000"/>
          <w:szCs w:val="24"/>
        </w:rPr>
        <w:t>见表</w:t>
      </w:r>
      <w:r>
        <w:rPr>
          <w:rFonts w:ascii="Times New Roman" w:hAnsi="Times New Roman"/>
          <w:color w:val="000000"/>
          <w:szCs w:val="24"/>
        </w:rPr>
        <w:t>1)</w:t>
      </w:r>
    </w:p>
    <w:p>
      <w:pPr>
        <w:spacing w:line="360" w:lineRule="auto"/>
        <w:ind w:left="375"/>
        <w:jc w:val="center"/>
        <w:rPr>
          <w:rFonts w:ascii="Times New Roman" w:hAnsi="Times New Roman"/>
          <w:color w:val="000000"/>
          <w:szCs w:val="24"/>
        </w:rPr>
      </w:pPr>
      <w:r>
        <w:rPr>
          <w:rFonts w:hint="eastAsia" w:ascii="Times New Roman" w:hAnsi="Times New Roman"/>
          <w:color w:val="000000"/>
          <w:szCs w:val="24"/>
        </w:rPr>
        <w:t>表</w:t>
      </w:r>
      <w:r>
        <w:rPr>
          <w:rFonts w:ascii="Times New Roman" w:hAnsi="Times New Roman"/>
          <w:color w:val="000000"/>
          <w:szCs w:val="24"/>
        </w:rPr>
        <w:t>1</w:t>
      </w:r>
      <w:r>
        <w:rPr>
          <w:rFonts w:hint="eastAsia" w:ascii="Times New Roman" w:hAnsi="Times New Roman"/>
          <w:color w:val="000000"/>
          <w:szCs w:val="24"/>
        </w:rPr>
        <w:t>　产品分类及代码</w:t>
      </w:r>
    </w:p>
    <w:tbl>
      <w:tblPr>
        <w:tblStyle w:val="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699"/>
        <w:gridCol w:w="283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703" w:type="dxa"/>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产品分类</w:t>
            </w:r>
          </w:p>
        </w:tc>
        <w:tc>
          <w:tcPr>
            <w:tcW w:w="1699" w:type="dxa"/>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一级分类</w:t>
            </w:r>
          </w:p>
        </w:tc>
        <w:tc>
          <w:tcPr>
            <w:tcW w:w="2836" w:type="dxa"/>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二级分类</w:t>
            </w:r>
          </w:p>
        </w:tc>
        <w:tc>
          <w:tcPr>
            <w:tcW w:w="2669" w:type="dxa"/>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三级分类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703" w:type="dxa"/>
            <w:vAlign w:val="center"/>
          </w:tcPr>
          <w:p>
            <w:pPr>
              <w:jc w:val="center"/>
              <w:rPr>
                <w:rFonts w:ascii="Times New Roman" w:hAnsi="Times New Roman"/>
                <w:sz w:val="18"/>
                <w:szCs w:val="18"/>
              </w:rPr>
            </w:pPr>
            <w:r>
              <w:rPr>
                <w:rFonts w:hint="eastAsia" w:ascii="Times New Roman" w:hAnsi="Times New Roman"/>
                <w:sz w:val="18"/>
                <w:szCs w:val="18"/>
              </w:rPr>
              <w:t>分类代码</w:t>
            </w:r>
          </w:p>
        </w:tc>
        <w:tc>
          <w:tcPr>
            <w:tcW w:w="1699" w:type="dxa"/>
            <w:vAlign w:val="center"/>
          </w:tcPr>
          <w:p>
            <w:pPr>
              <w:jc w:val="center"/>
              <w:rPr>
                <w:rFonts w:ascii="Times New Roman" w:hAnsi="Times New Roman"/>
                <w:sz w:val="18"/>
                <w:szCs w:val="18"/>
              </w:rPr>
            </w:pPr>
            <w:r>
              <w:rPr>
                <w:rFonts w:ascii="Times New Roman" w:hAnsi="Times New Roman"/>
                <w:sz w:val="18"/>
                <w:szCs w:val="18"/>
              </w:rPr>
              <w:t>2</w:t>
            </w:r>
          </w:p>
        </w:tc>
        <w:tc>
          <w:tcPr>
            <w:tcW w:w="2836" w:type="dxa"/>
            <w:vAlign w:val="center"/>
          </w:tcPr>
          <w:p>
            <w:pPr>
              <w:jc w:val="center"/>
              <w:rPr>
                <w:rFonts w:ascii="Times New Roman" w:hAnsi="Times New Roman"/>
                <w:sz w:val="18"/>
                <w:szCs w:val="18"/>
              </w:rPr>
            </w:pPr>
            <w:r>
              <w:rPr>
                <w:rFonts w:ascii="Times New Roman" w:hAnsi="Times New Roman"/>
                <w:sz w:val="18"/>
                <w:szCs w:val="18"/>
              </w:rPr>
              <w:t>209</w:t>
            </w:r>
          </w:p>
        </w:tc>
        <w:tc>
          <w:tcPr>
            <w:tcW w:w="2669" w:type="dxa"/>
            <w:vAlign w:val="center"/>
          </w:tcPr>
          <w:p>
            <w:pPr>
              <w:jc w:val="center"/>
              <w:rPr>
                <w:rFonts w:ascii="Times New Roman" w:hAnsi="Times New Roman"/>
                <w:sz w:val="18"/>
                <w:szCs w:val="18"/>
              </w:rPr>
            </w:pPr>
            <w:r>
              <w:rPr>
                <w:rFonts w:hint="eastAsia" w:ascii="Times New Roman" w:hAnsi="Times New Roman"/>
                <w:sz w:val="18"/>
                <w:szCs w:val="18"/>
              </w:rPr>
              <w:t>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703" w:type="dxa"/>
            <w:vAlign w:val="center"/>
          </w:tcPr>
          <w:p>
            <w:pPr>
              <w:jc w:val="center"/>
              <w:rPr>
                <w:rFonts w:ascii="Times New Roman" w:hAnsi="Times New Roman"/>
                <w:sz w:val="18"/>
                <w:szCs w:val="18"/>
              </w:rPr>
            </w:pPr>
            <w:r>
              <w:rPr>
                <w:rFonts w:hint="eastAsia" w:ascii="Times New Roman" w:hAnsi="Times New Roman"/>
                <w:sz w:val="18"/>
                <w:szCs w:val="18"/>
              </w:rPr>
              <w:t>分类名称</w:t>
            </w:r>
          </w:p>
        </w:tc>
        <w:tc>
          <w:tcPr>
            <w:tcW w:w="1699" w:type="dxa"/>
            <w:vAlign w:val="center"/>
          </w:tcPr>
          <w:p>
            <w:pPr>
              <w:jc w:val="center"/>
              <w:rPr>
                <w:rFonts w:ascii="Times New Roman" w:hAnsi="Times New Roman"/>
                <w:sz w:val="18"/>
                <w:szCs w:val="18"/>
              </w:rPr>
            </w:pPr>
            <w:r>
              <w:rPr>
                <w:rFonts w:hint="eastAsia" w:ascii="Times New Roman" w:hAnsi="Times New Roman"/>
                <w:sz w:val="18"/>
                <w:szCs w:val="18"/>
              </w:rPr>
              <w:t>日用消费品</w:t>
            </w:r>
          </w:p>
        </w:tc>
        <w:tc>
          <w:tcPr>
            <w:tcW w:w="2836" w:type="dxa"/>
            <w:vAlign w:val="center"/>
          </w:tcPr>
          <w:p>
            <w:pPr>
              <w:jc w:val="center"/>
              <w:rPr>
                <w:rFonts w:ascii="Times New Roman" w:hAnsi="Times New Roman"/>
                <w:sz w:val="18"/>
                <w:szCs w:val="18"/>
              </w:rPr>
            </w:pPr>
            <w:r>
              <w:rPr>
                <w:rFonts w:hint="eastAsia" w:ascii="Times New Roman" w:hAnsi="Times New Roman"/>
                <w:sz w:val="18"/>
                <w:szCs w:val="18"/>
              </w:rPr>
              <w:t>食品用塑料包装物及工具</w:t>
            </w:r>
          </w:p>
        </w:tc>
        <w:tc>
          <w:tcPr>
            <w:tcW w:w="2669" w:type="dxa"/>
            <w:vAlign w:val="center"/>
          </w:tcPr>
          <w:p>
            <w:pPr>
              <w:jc w:val="center"/>
              <w:rPr>
                <w:rFonts w:ascii="Times New Roman" w:hAnsi="Times New Roman"/>
                <w:sz w:val="18"/>
                <w:szCs w:val="18"/>
              </w:rPr>
            </w:pPr>
            <w:r>
              <w:rPr>
                <w:rFonts w:hint="eastAsia" w:ascii="Times New Roman" w:hAnsi="Times New Roman"/>
                <w:sz w:val="18"/>
                <w:szCs w:val="18"/>
              </w:rPr>
              <w:t>食品用塑料工具（塑料一次性餐饮具）</w:t>
            </w:r>
          </w:p>
        </w:tc>
      </w:tr>
    </w:tbl>
    <w:p>
      <w:pPr>
        <w:spacing w:line="360" w:lineRule="auto"/>
        <w:jc w:val="left"/>
        <w:rPr>
          <w:rFonts w:ascii="Times New Roman" w:hAnsi="Times New Roman"/>
          <w:color w:val="000000"/>
          <w:szCs w:val="24"/>
        </w:rPr>
      </w:pPr>
      <w:r>
        <w:rPr>
          <w:rFonts w:ascii="Times New Roman" w:hAnsi="Times New Roman"/>
          <w:color w:val="000000"/>
          <w:szCs w:val="24"/>
        </w:rPr>
        <w:t xml:space="preserve">2.2 </w:t>
      </w:r>
      <w:r>
        <w:rPr>
          <w:rFonts w:hint="eastAsia" w:ascii="Times New Roman" w:hAnsi="Times New Roman"/>
          <w:color w:val="000000"/>
          <w:szCs w:val="24"/>
        </w:rPr>
        <w:t>产品种类</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抽查产品种类包括食品用塑料容器（餐盒、保鲜盒、水壶、水杯等），一次性塑料餐具（碗、碟、杯、刀、叉、饭盒等 ），食品用塑料工具（塑料菜板等），但不包括婴幼儿奶瓶和婴幼儿塑料餐饮具：</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GB/T 18006.1-2009塑料一次性餐饮具通用技术要求；</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GB/T 24693-2009聚丙烯饮用吸管；</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GB/T 32094-2015塑料保鲜盒；</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QB/T 1870-2015塑料菜板；</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QB/T 2357-1998聚酯(PET)无汽饮料瓶；</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QB/T 2460-1999聚碳酸酯（PC）饮用水罐；</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QB/T 4049-2010塑料饮水口杯；</w:t>
      </w:r>
      <w:r>
        <w:rPr>
          <w:rFonts w:ascii="Times New Roman" w:hAnsi="Times New Roman"/>
          <w:color w:val="000000"/>
          <w:szCs w:val="24"/>
        </w:rPr>
        <w:t xml:space="preserve"> </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其他食品用塑料容器、工具(企业标准)</w:t>
      </w:r>
    </w:p>
    <w:p>
      <w:pPr>
        <w:snapToGrid w:val="0"/>
        <w:spacing w:line="440" w:lineRule="exact"/>
        <w:rPr>
          <w:rFonts w:ascii="黑体" w:hAnsi="宋体" w:eastAsia="黑体"/>
          <w:color w:val="000000"/>
          <w:szCs w:val="21"/>
        </w:rPr>
      </w:pPr>
      <w:r>
        <w:rPr>
          <w:rFonts w:hint="eastAsia" w:ascii="黑体" w:hAnsi="宋体" w:eastAsia="黑体"/>
          <w:color w:val="000000"/>
          <w:szCs w:val="21"/>
        </w:rPr>
        <w:t>3企业规模划分</w:t>
      </w:r>
    </w:p>
    <w:p>
      <w:pPr>
        <w:snapToGrid w:val="0"/>
        <w:spacing w:line="440" w:lineRule="exact"/>
        <w:ind w:firstLine="403" w:firstLineChars="192"/>
        <w:rPr>
          <w:rFonts w:ascii="宋体" w:hAnsi="宋体"/>
          <w:color w:val="000000"/>
          <w:szCs w:val="21"/>
        </w:rPr>
      </w:pPr>
      <w:r>
        <w:rPr>
          <w:rFonts w:hint="eastAsia" w:ascii="宋体" w:hAnsi="宋体"/>
          <w:color w:val="000000"/>
          <w:szCs w:val="21"/>
        </w:rPr>
        <w:t>根据产品行业的实际情况，生产企业规模以产品年销售额为标准划分为大、中、小型企业。见表2。</w:t>
      </w:r>
    </w:p>
    <w:p>
      <w:pPr>
        <w:snapToGrid w:val="0"/>
        <w:spacing w:line="440" w:lineRule="exact"/>
        <w:ind w:firstLine="403" w:firstLineChars="192"/>
        <w:jc w:val="center"/>
        <w:rPr>
          <w:rFonts w:ascii="宋体" w:hAnsi="宋体"/>
          <w:color w:val="000000"/>
          <w:szCs w:val="21"/>
        </w:rPr>
      </w:pPr>
      <w:r>
        <w:rPr>
          <w:rFonts w:hint="eastAsia" w:ascii="宋体" w:hAnsi="宋体"/>
          <w:color w:val="000000"/>
          <w:szCs w:val="21"/>
        </w:rPr>
        <w:t>表2  企业规模划分</w:t>
      </w:r>
    </w:p>
    <w:tbl>
      <w:tblPr>
        <w:tblStyle w:val="6"/>
        <w:tblW w:w="90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8"/>
        <w:gridCol w:w="1383"/>
        <w:gridCol w:w="717"/>
        <w:gridCol w:w="1136"/>
        <w:gridCol w:w="1718"/>
        <w:gridCol w:w="1783"/>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行业名称</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指标名称</w:t>
            </w:r>
          </w:p>
        </w:tc>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计量</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大型</w:t>
            </w:r>
          </w:p>
        </w:tc>
        <w:tc>
          <w:tcPr>
            <w:tcW w:w="1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中型</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小型</w:t>
            </w:r>
          </w:p>
        </w:tc>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1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工业</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从业人员</w:t>
            </w:r>
            <w:r>
              <w:rPr>
                <w:rFonts w:ascii="Times New Roman" w:hAnsi="Times New Roman"/>
                <w:sz w:val="18"/>
                <w:szCs w:val="18"/>
              </w:rPr>
              <w:t>(X)</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人</w:t>
            </w:r>
          </w:p>
        </w:tc>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w:t>
            </w:r>
            <w:r>
              <w:rPr>
                <w:rFonts w:ascii="Times New Roman" w:hAnsi="Times New Roman"/>
                <w:sz w:val="18"/>
                <w:szCs w:val="18"/>
              </w:rPr>
              <w:t>1000</w:t>
            </w: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300</w:t>
            </w:r>
            <w:r>
              <w:rPr>
                <w:rFonts w:hint="eastAsia" w:ascii="Times New Roman" w:hAnsi="Times New Roman"/>
                <w:sz w:val="18"/>
                <w:szCs w:val="18"/>
              </w:rPr>
              <w:t>≤</w:t>
            </w:r>
            <w:r>
              <w:rPr>
                <w:rFonts w:ascii="Times New Roman" w:hAnsi="Times New Roman"/>
                <w:sz w:val="18"/>
                <w:szCs w:val="18"/>
              </w:rPr>
              <w:t>X</w:t>
            </w:r>
            <w:r>
              <w:rPr>
                <w:rFonts w:hint="eastAsia" w:ascii="Times New Roman" w:hAnsi="Times New Roman"/>
                <w:sz w:val="18"/>
                <w:szCs w:val="18"/>
              </w:rPr>
              <w:t>＜</w:t>
            </w:r>
            <w:r>
              <w:rPr>
                <w:rFonts w:ascii="Times New Roman" w:hAnsi="Times New Roman"/>
                <w:sz w:val="18"/>
                <w:szCs w:val="18"/>
              </w:rPr>
              <w:t>1000</w:t>
            </w: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rPr>
              <w:t>≤</w:t>
            </w:r>
            <w:r>
              <w:rPr>
                <w:rFonts w:ascii="Times New Roman" w:hAnsi="Times New Roman"/>
                <w:sz w:val="18"/>
                <w:szCs w:val="18"/>
              </w:rPr>
              <w:t>X</w:t>
            </w:r>
            <w:r>
              <w:rPr>
                <w:rFonts w:hint="eastAsia" w:ascii="Times New Roman" w:hAnsi="Times New Roman"/>
                <w:sz w:val="18"/>
                <w:szCs w:val="18"/>
              </w:rPr>
              <w:t>＜</w:t>
            </w:r>
            <w:r>
              <w:rPr>
                <w:rFonts w:ascii="Times New Roman" w:hAnsi="Times New Roman"/>
                <w:sz w:val="18"/>
                <w:szCs w:val="18"/>
              </w:rPr>
              <w:t>300</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w:t>
            </w:r>
            <w:r>
              <w:rPr>
                <w:rFonts w:ascii="Times New Roman" w:hAnsi="Times New Roman"/>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营业收入</w:t>
            </w:r>
            <w:r>
              <w:rPr>
                <w:rFonts w:ascii="Times New Roman" w:hAnsi="Times New Roman"/>
                <w:sz w:val="18"/>
                <w:szCs w:val="18"/>
              </w:rPr>
              <w:t>(Y)</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万元</w:t>
            </w:r>
          </w:p>
        </w:tc>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Y</w:t>
            </w:r>
            <w:r>
              <w:rPr>
                <w:rFonts w:hint="eastAsia" w:ascii="Times New Roman" w:hAnsi="Times New Roman"/>
                <w:sz w:val="18"/>
                <w:szCs w:val="18"/>
              </w:rPr>
              <w:t>≥</w:t>
            </w:r>
            <w:r>
              <w:rPr>
                <w:rFonts w:ascii="Times New Roman" w:hAnsi="Times New Roman"/>
                <w:sz w:val="18"/>
                <w:szCs w:val="18"/>
              </w:rPr>
              <w:t>40000</w:t>
            </w: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2000</w:t>
            </w:r>
            <w:r>
              <w:rPr>
                <w:rFonts w:hint="eastAsia" w:ascii="Times New Roman" w:hAnsi="Times New Roman"/>
                <w:sz w:val="18"/>
                <w:szCs w:val="18"/>
              </w:rPr>
              <w:t>≤</w:t>
            </w:r>
            <w:r>
              <w:rPr>
                <w:rFonts w:ascii="Times New Roman" w:hAnsi="Times New Roman"/>
                <w:sz w:val="18"/>
                <w:szCs w:val="18"/>
              </w:rPr>
              <w:t>Y</w:t>
            </w:r>
            <w:r>
              <w:rPr>
                <w:rFonts w:hint="eastAsia" w:ascii="Times New Roman" w:hAnsi="Times New Roman"/>
                <w:sz w:val="18"/>
                <w:szCs w:val="18"/>
              </w:rPr>
              <w:t>＜</w:t>
            </w:r>
            <w:r>
              <w:rPr>
                <w:rFonts w:ascii="Times New Roman" w:hAnsi="Times New Roman"/>
                <w:sz w:val="18"/>
                <w:szCs w:val="18"/>
              </w:rPr>
              <w:t>40000</w:t>
            </w: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300</w:t>
            </w:r>
            <w:r>
              <w:rPr>
                <w:rFonts w:hint="eastAsia" w:ascii="Times New Roman" w:hAnsi="Times New Roman"/>
                <w:sz w:val="18"/>
                <w:szCs w:val="18"/>
              </w:rPr>
              <w:t>≤</w:t>
            </w:r>
            <w:r>
              <w:rPr>
                <w:rFonts w:ascii="Times New Roman" w:hAnsi="Times New Roman"/>
                <w:sz w:val="18"/>
                <w:szCs w:val="18"/>
              </w:rPr>
              <w:t>Y</w:t>
            </w:r>
            <w:r>
              <w:rPr>
                <w:rFonts w:hint="eastAsia" w:ascii="Times New Roman" w:hAnsi="Times New Roman"/>
                <w:sz w:val="18"/>
                <w:szCs w:val="18"/>
              </w:rPr>
              <w:t>＜</w:t>
            </w:r>
            <w:r>
              <w:rPr>
                <w:rFonts w:ascii="Times New Roman" w:hAnsi="Times New Roman"/>
                <w:sz w:val="18"/>
                <w:szCs w:val="18"/>
              </w:rPr>
              <w:t>2000</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Y</w:t>
            </w:r>
            <w:r>
              <w:rPr>
                <w:rFonts w:hint="eastAsia" w:ascii="Times New Roman" w:hAnsi="Times New Roman"/>
                <w:sz w:val="18"/>
                <w:szCs w:val="18"/>
              </w:rPr>
              <w:t>＜</w:t>
            </w:r>
            <w:r>
              <w:rPr>
                <w:rFonts w:ascii="Times New Roman" w:hAnsi="Times New Roman"/>
                <w:sz w:val="18"/>
                <w:szCs w:val="18"/>
              </w:rPr>
              <w:t>300</w:t>
            </w:r>
          </w:p>
        </w:tc>
      </w:tr>
    </w:tbl>
    <w:p>
      <w:pPr>
        <w:snapToGrid w:val="0"/>
        <w:spacing w:line="440" w:lineRule="exact"/>
        <w:ind w:firstLine="346" w:firstLineChars="192"/>
        <w:rPr>
          <w:rFonts w:ascii="宋体" w:hAnsi="宋体"/>
          <w:color w:val="000000"/>
          <w:sz w:val="18"/>
          <w:szCs w:val="18"/>
        </w:rPr>
      </w:pPr>
      <w:r>
        <w:rPr>
          <w:rFonts w:hint="eastAsia" w:ascii="宋体" w:hAnsi="宋体"/>
          <w:color w:val="000000"/>
          <w:sz w:val="18"/>
          <w:szCs w:val="18"/>
        </w:rPr>
        <w:t>注：大型、中型和小型企业须同时满足所列指标的下限，否则下划一档。</w:t>
      </w:r>
    </w:p>
    <w:p>
      <w:pPr>
        <w:snapToGrid w:val="0"/>
        <w:spacing w:line="440" w:lineRule="exact"/>
        <w:rPr>
          <w:b/>
          <w:sz w:val="28"/>
          <w:szCs w:val="28"/>
        </w:rPr>
      </w:pPr>
      <w:r>
        <w:rPr>
          <w:rFonts w:ascii="黑体" w:hAnsi="宋体" w:eastAsia="黑体"/>
          <w:color w:val="000000"/>
          <w:szCs w:val="21"/>
        </w:rPr>
        <w:t>4</w:t>
      </w:r>
      <w:r>
        <w:rPr>
          <w:rFonts w:hint="eastAsia" w:ascii="黑体" w:hAnsi="宋体" w:eastAsia="黑体"/>
          <w:color w:val="000000"/>
          <w:szCs w:val="21"/>
        </w:rPr>
        <w:t>检验依据</w:t>
      </w:r>
      <w:r>
        <w:rPr>
          <w:rFonts w:ascii="黑体" w:hAnsi="宋体" w:eastAsia="黑体"/>
          <w:color w:val="000000"/>
          <w:szCs w:val="21"/>
        </w:rPr>
        <w:t xml:space="preserve">  </w:t>
      </w:r>
      <w:r>
        <w:rPr>
          <w:b/>
          <w:sz w:val="28"/>
          <w:szCs w:val="28"/>
        </w:rPr>
        <w:t xml:space="preserve">   </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GB 4806.1-2016 《食品安全国家标准 食品接触材料及制品通用安全要求》</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GB 4806.6-2016 《食品安全国家标准 食品接触用塑料树脂》</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GB 4806.7-2016 《食品安全国家标准 食品接触材料及制品》</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GB 9685-2016 《食品安全国家标准 食品接触材料及制品用添加剂使用标准》</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T/GDAQI 020-2020 产品质量监督抽查抽样检验技术服务规范</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《食品用塑料包装容器工具等制品生产许可实施细则》</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现行有效的企业标准及产品明示质量指标和要求；</w:t>
      </w:r>
    </w:p>
    <w:p>
      <w:pPr>
        <w:snapToGrid w:val="0"/>
        <w:spacing w:line="440" w:lineRule="exact"/>
        <w:rPr>
          <w:rFonts w:ascii="黑体" w:hAnsi="宋体" w:eastAsia="黑体"/>
          <w:color w:val="000000"/>
          <w:szCs w:val="21"/>
        </w:rPr>
      </w:pPr>
      <w:r>
        <w:rPr>
          <w:rFonts w:ascii="黑体" w:hAnsi="宋体" w:eastAsia="黑体"/>
          <w:color w:val="000000"/>
          <w:szCs w:val="21"/>
        </w:rPr>
        <w:t>5</w:t>
      </w:r>
      <w:r>
        <w:rPr>
          <w:rFonts w:hint="eastAsia" w:ascii="黑体" w:hAnsi="宋体" w:eastAsia="黑体"/>
          <w:color w:val="000000"/>
          <w:szCs w:val="21"/>
        </w:rPr>
        <w:t>抽样</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5.1 抽样型号或规格</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应抽取同一类产品的某一规格作为抽查样品。</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5.2 抽样方法、基数及数量</w:t>
      </w:r>
    </w:p>
    <w:p>
      <w:pPr>
        <w:adjustRightInd w:val="0"/>
        <w:snapToGrid w:val="0"/>
        <w:spacing w:line="520" w:lineRule="exact"/>
        <w:ind w:firstLine="480" w:firstLineChars="200"/>
        <w:rPr>
          <w:rFonts w:ascii="宋体" w:hAnsi="宋体"/>
          <w:sz w:val="24"/>
        </w:rPr>
      </w:pPr>
      <w:r>
        <w:rPr>
          <w:rFonts w:hint="eastAsia" w:ascii="宋体" w:hAnsi="宋体"/>
          <w:sz w:val="24"/>
        </w:rPr>
        <w:t>在企业成品库抽样时，抽样方法、基数、数量及样品处置见下表3。</w:t>
      </w:r>
    </w:p>
    <w:p>
      <w:pPr>
        <w:snapToGrid w:val="0"/>
        <w:spacing w:line="440" w:lineRule="exact"/>
        <w:ind w:firstLine="403" w:firstLineChars="192"/>
        <w:jc w:val="center"/>
        <w:rPr>
          <w:rFonts w:ascii="宋体" w:hAnsi="宋体"/>
          <w:color w:val="000000"/>
          <w:szCs w:val="21"/>
        </w:rPr>
      </w:pPr>
      <w:r>
        <w:rPr>
          <w:rFonts w:hint="eastAsia" w:ascii="宋体" w:hAnsi="宋体"/>
          <w:color w:val="000000"/>
          <w:szCs w:val="21"/>
        </w:rPr>
        <w:t>表3   食品包装膜、袋产品抽样方法</w:t>
      </w:r>
    </w:p>
    <w:tbl>
      <w:tblPr>
        <w:tblStyle w:val="6"/>
        <w:tblW w:w="8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2693"/>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blHeader/>
          <w:jc w:val="center"/>
        </w:trPr>
        <w:tc>
          <w:tcPr>
            <w:tcW w:w="1289" w:type="dxa"/>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序号</w:t>
            </w:r>
          </w:p>
        </w:tc>
        <w:tc>
          <w:tcPr>
            <w:tcW w:w="2693" w:type="dxa"/>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产品品种</w:t>
            </w:r>
          </w:p>
        </w:tc>
        <w:tc>
          <w:tcPr>
            <w:tcW w:w="4065" w:type="dxa"/>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89" w:type="dxa"/>
            <w:vAlign w:val="center"/>
          </w:tcPr>
          <w:p>
            <w:pPr>
              <w:jc w:val="center"/>
              <w:rPr>
                <w:rFonts w:ascii="Times New Roman" w:hAnsi="Times New Roman"/>
                <w:sz w:val="18"/>
                <w:szCs w:val="18"/>
              </w:rPr>
            </w:pPr>
            <w:r>
              <w:rPr>
                <w:rFonts w:hint="eastAsia" w:ascii="Times New Roman" w:hAnsi="Times New Roman"/>
                <w:sz w:val="18"/>
                <w:szCs w:val="18"/>
              </w:rPr>
              <w:t>1</w:t>
            </w:r>
          </w:p>
        </w:tc>
        <w:tc>
          <w:tcPr>
            <w:tcW w:w="2693" w:type="dxa"/>
            <w:vAlign w:val="center"/>
          </w:tcPr>
          <w:p>
            <w:pPr>
              <w:jc w:val="center"/>
              <w:rPr>
                <w:rFonts w:ascii="Times New Roman" w:hAnsi="Times New Roman"/>
                <w:sz w:val="18"/>
                <w:szCs w:val="18"/>
              </w:rPr>
            </w:pPr>
            <w:r>
              <w:rPr>
                <w:rFonts w:hint="eastAsia" w:ascii="Times New Roman" w:hAnsi="Times New Roman"/>
                <w:sz w:val="18"/>
                <w:szCs w:val="18"/>
              </w:rPr>
              <w:t>食品用塑料容器</w:t>
            </w:r>
          </w:p>
        </w:tc>
        <w:tc>
          <w:tcPr>
            <w:tcW w:w="4065" w:type="dxa"/>
            <w:vAlign w:val="center"/>
          </w:tcPr>
          <w:p>
            <w:pPr>
              <w:jc w:val="center"/>
              <w:rPr>
                <w:rFonts w:ascii="Times New Roman" w:hAnsi="Times New Roman"/>
                <w:sz w:val="18"/>
                <w:szCs w:val="18"/>
              </w:rPr>
            </w:pPr>
            <w:r>
              <w:rPr>
                <w:rFonts w:hint="eastAsia" w:ascii="Times New Roman" w:hAnsi="Times New Roman"/>
                <w:sz w:val="18"/>
                <w:szCs w:val="18"/>
              </w:rPr>
              <w:t>不少于30个，20个作为检验样品，10个作为复检备用样品。单个容量小于100mL的，需相应增加试验样品量。（</w:t>
            </w:r>
            <w:r>
              <w:rPr>
                <w:rFonts w:ascii="Times New Roman" w:hAnsi="Times New Roman"/>
                <w:sz w:val="18"/>
                <w:szCs w:val="18"/>
              </w:rPr>
              <w:t>PET</w:t>
            </w:r>
            <w:r>
              <w:rPr>
                <w:rFonts w:hint="eastAsia" w:ascii="Times New Roman" w:hAnsi="Times New Roman"/>
                <w:sz w:val="18"/>
                <w:szCs w:val="18"/>
              </w:rPr>
              <w:t>瓶样品连同瓶盖一并带回。）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289" w:type="dxa"/>
            <w:vAlign w:val="center"/>
          </w:tcPr>
          <w:p>
            <w:pPr>
              <w:jc w:val="center"/>
              <w:rPr>
                <w:rFonts w:ascii="Times New Roman" w:hAnsi="Times New Roman"/>
                <w:sz w:val="18"/>
                <w:szCs w:val="18"/>
              </w:rPr>
            </w:pPr>
            <w:r>
              <w:rPr>
                <w:rFonts w:hint="eastAsia" w:ascii="Times New Roman" w:hAnsi="Times New Roman"/>
                <w:sz w:val="18"/>
                <w:szCs w:val="18"/>
              </w:rPr>
              <w:t>2</w:t>
            </w:r>
          </w:p>
        </w:tc>
        <w:tc>
          <w:tcPr>
            <w:tcW w:w="2693" w:type="dxa"/>
            <w:vAlign w:val="center"/>
          </w:tcPr>
          <w:p>
            <w:pPr>
              <w:jc w:val="center"/>
              <w:rPr>
                <w:rFonts w:ascii="Times New Roman" w:hAnsi="Times New Roman"/>
                <w:sz w:val="18"/>
                <w:szCs w:val="18"/>
              </w:rPr>
            </w:pPr>
            <w:r>
              <w:rPr>
                <w:rFonts w:hint="eastAsia" w:ascii="Times New Roman" w:hAnsi="Times New Roman"/>
                <w:sz w:val="18"/>
                <w:szCs w:val="18"/>
              </w:rPr>
              <w:t>食品用塑料工具</w:t>
            </w:r>
          </w:p>
        </w:tc>
        <w:tc>
          <w:tcPr>
            <w:tcW w:w="4065" w:type="dxa"/>
            <w:vAlign w:val="center"/>
          </w:tcPr>
          <w:p>
            <w:pPr>
              <w:jc w:val="center"/>
              <w:rPr>
                <w:rFonts w:ascii="Times New Roman" w:hAnsi="Times New Roman"/>
                <w:sz w:val="18"/>
                <w:szCs w:val="18"/>
              </w:rPr>
            </w:pPr>
            <w:r>
              <w:rPr>
                <w:rFonts w:hint="eastAsia" w:ascii="Times New Roman" w:hAnsi="Times New Roman"/>
                <w:sz w:val="18"/>
                <w:szCs w:val="18"/>
              </w:rPr>
              <w:t>不少于30个，20个作为检验样品，10个作为复检备用样品。</w:t>
            </w:r>
          </w:p>
        </w:tc>
      </w:tr>
    </w:tbl>
    <w:p>
      <w:pPr>
        <w:spacing w:line="360" w:lineRule="auto"/>
        <w:ind w:firstLine="315" w:firstLineChars="150"/>
        <w:jc w:val="left"/>
        <w:rPr>
          <w:rFonts w:ascii="Times New Roman" w:hAnsi="Times New Roman"/>
          <w:color w:val="000000"/>
          <w:szCs w:val="24"/>
        </w:rPr>
      </w:pPr>
    </w:p>
    <w:p>
      <w:pPr>
        <w:spacing w:line="360" w:lineRule="auto"/>
        <w:ind w:firstLine="315" w:firstLineChars="150"/>
        <w:jc w:val="left"/>
        <w:rPr>
          <w:rFonts w:ascii="Times New Roman" w:hAnsi="Times New Roman"/>
          <w:color w:val="000000"/>
          <w:szCs w:val="24"/>
        </w:rPr>
      </w:pPr>
      <w:r>
        <w:rPr>
          <w:rFonts w:ascii="Times New Roman" w:hAnsi="Times New Roman"/>
          <w:color w:val="000000"/>
          <w:szCs w:val="24"/>
        </w:rPr>
        <w:t>5</w:t>
      </w:r>
      <w:r>
        <w:rPr>
          <w:rFonts w:hint="eastAsia" w:ascii="Times New Roman" w:hAnsi="Times New Roman"/>
          <w:color w:val="000000"/>
          <w:szCs w:val="24"/>
        </w:rPr>
        <w:t>.3样品处置</w:t>
      </w:r>
    </w:p>
    <w:p>
      <w:pPr>
        <w:adjustRightInd w:val="0"/>
        <w:snapToGrid w:val="0"/>
        <w:spacing w:line="520" w:lineRule="exact"/>
        <w:ind w:firstLine="420" w:firstLineChars="200"/>
        <w:rPr>
          <w:rFonts w:ascii="宋体" w:hAnsi="宋体"/>
          <w:color w:val="000000"/>
          <w:kern w:val="0"/>
          <w:szCs w:val="21"/>
        </w:rPr>
      </w:pPr>
      <w:r>
        <w:rPr>
          <w:rFonts w:ascii="Times New Roman" w:hAnsi="Times New Roman"/>
          <w:color w:val="000000"/>
          <w:szCs w:val="24"/>
        </w:rPr>
        <w:t>5</w:t>
      </w:r>
      <w:r>
        <w:rPr>
          <w:rFonts w:hint="eastAsia" w:ascii="Times New Roman" w:hAnsi="Times New Roman"/>
          <w:color w:val="000000"/>
          <w:szCs w:val="24"/>
        </w:rPr>
        <w:t>.3.1样品抽取后应进行包装加封，封样时应当有防拆封措施，以保证样品的真实性。检验用样品及备用(复检)样品应分别封样。</w:t>
      </w:r>
      <w:r>
        <w:rPr>
          <w:rFonts w:ascii="宋体" w:hAnsi="宋体"/>
          <w:color w:val="000000"/>
          <w:kern w:val="0"/>
          <w:szCs w:val="21"/>
        </w:rPr>
        <w:t>封样后的样品要在现场拍照作为证据。</w:t>
      </w:r>
      <w:r>
        <w:rPr>
          <w:rFonts w:hint="eastAsia" w:ascii="宋体" w:hAnsi="宋体"/>
          <w:color w:val="000000"/>
          <w:kern w:val="0"/>
          <w:szCs w:val="21"/>
        </w:rPr>
        <w:t>样品运送时应防止剧烈碰撞损坏样品。备用样品封存于检验机构。备用样品仅在检验样品因运输过程或检验损坏时启用。</w:t>
      </w:r>
    </w:p>
    <w:p>
      <w:pPr>
        <w:spacing w:line="360" w:lineRule="auto"/>
        <w:ind w:firstLine="315" w:firstLineChars="150"/>
        <w:jc w:val="left"/>
        <w:rPr>
          <w:rFonts w:ascii="Times New Roman" w:hAnsi="Times New Roman"/>
          <w:color w:val="000000"/>
          <w:szCs w:val="24"/>
        </w:rPr>
      </w:pPr>
      <w:r>
        <w:rPr>
          <w:rFonts w:ascii="Times New Roman" w:hAnsi="Times New Roman"/>
          <w:color w:val="000000"/>
          <w:szCs w:val="24"/>
        </w:rPr>
        <w:t>5</w:t>
      </w:r>
      <w:r>
        <w:rPr>
          <w:rFonts w:hint="eastAsia" w:ascii="Times New Roman" w:hAnsi="Times New Roman"/>
          <w:color w:val="000000"/>
          <w:szCs w:val="24"/>
        </w:rPr>
        <w:t>.3.2样品到达检验机构后,</w:t>
      </w:r>
      <w:r>
        <w:rPr>
          <w:rFonts w:ascii="Times New Roman" w:hAnsi="Times New Roman"/>
          <w:color w:val="000000"/>
          <w:szCs w:val="24"/>
        </w:rPr>
        <w:t>接收人负责检查、记录样品的外观、状态、</w:t>
      </w:r>
      <w:r>
        <w:rPr>
          <w:rFonts w:hint="eastAsia" w:ascii="Times New Roman" w:hAnsi="Times New Roman"/>
          <w:color w:val="000000"/>
          <w:szCs w:val="24"/>
        </w:rPr>
        <w:t>封样单</w:t>
      </w:r>
      <w:r>
        <w:rPr>
          <w:rFonts w:ascii="Times New Roman" w:hAnsi="Times New Roman"/>
          <w:color w:val="000000"/>
          <w:szCs w:val="24"/>
        </w:rPr>
        <w:t>有无破损及其他可能对检测结果或者综合判定产生影响的情况，并确认样品与抽样单的记录是否相符，对检</w:t>
      </w:r>
      <w:r>
        <w:rPr>
          <w:rFonts w:hint="eastAsia" w:ascii="Times New Roman" w:hAnsi="Times New Roman"/>
          <w:color w:val="000000"/>
          <w:szCs w:val="24"/>
        </w:rPr>
        <w:t>验</w:t>
      </w:r>
      <w:r>
        <w:rPr>
          <w:rFonts w:ascii="Times New Roman" w:hAnsi="Times New Roman"/>
          <w:color w:val="000000"/>
          <w:szCs w:val="24"/>
        </w:rPr>
        <w:t>和备用样品分别加贴标识后</w:t>
      </w:r>
      <w:r>
        <w:rPr>
          <w:rFonts w:hint="eastAsia" w:ascii="Times New Roman" w:hAnsi="Times New Roman"/>
          <w:color w:val="000000"/>
          <w:szCs w:val="24"/>
        </w:rPr>
        <w:t>保存</w:t>
      </w:r>
      <w:r>
        <w:rPr>
          <w:rFonts w:ascii="Times New Roman" w:hAnsi="Times New Roman"/>
          <w:color w:val="000000"/>
          <w:szCs w:val="24"/>
        </w:rPr>
        <w:t>。</w:t>
      </w:r>
    </w:p>
    <w:p>
      <w:pPr>
        <w:spacing w:line="360" w:lineRule="auto"/>
        <w:ind w:firstLine="315" w:firstLineChars="150"/>
        <w:jc w:val="left"/>
        <w:rPr>
          <w:rFonts w:ascii="Times New Roman" w:hAnsi="Times New Roman"/>
          <w:color w:val="000000"/>
          <w:szCs w:val="24"/>
        </w:rPr>
      </w:pPr>
      <w:r>
        <w:rPr>
          <w:rFonts w:ascii="Times New Roman" w:hAnsi="Times New Roman"/>
          <w:color w:val="000000"/>
          <w:szCs w:val="24"/>
        </w:rPr>
        <w:t>5</w:t>
      </w:r>
      <w:r>
        <w:rPr>
          <w:rFonts w:hint="eastAsia" w:ascii="Times New Roman" w:hAnsi="Times New Roman"/>
          <w:color w:val="000000"/>
          <w:szCs w:val="24"/>
        </w:rPr>
        <w:t>.4抽样单</w:t>
      </w:r>
    </w:p>
    <w:p>
      <w:pPr>
        <w:spacing w:line="360" w:lineRule="auto"/>
        <w:ind w:firstLine="315" w:firstLineChars="150"/>
        <w:jc w:val="left"/>
        <w:rPr>
          <w:rFonts w:ascii="Times New Roman" w:hAnsi="Times New Roman"/>
          <w:color w:val="000000"/>
          <w:szCs w:val="24"/>
        </w:rPr>
      </w:pPr>
      <w:r>
        <w:rPr>
          <w:rFonts w:hint="eastAsia" w:ascii="Times New Roman" w:hAnsi="Times New Roman"/>
          <w:color w:val="000000"/>
          <w:szCs w:val="24"/>
        </w:rPr>
        <w:t>应按有关规定填写抽样单，并记录被抽查产品及企业相关信息。</w:t>
      </w:r>
    </w:p>
    <w:p>
      <w:pPr>
        <w:snapToGrid w:val="0"/>
        <w:spacing w:line="440" w:lineRule="exact"/>
        <w:rPr>
          <w:rFonts w:ascii="黑体" w:hAnsi="宋体" w:eastAsia="黑体"/>
          <w:color w:val="000000"/>
          <w:szCs w:val="21"/>
        </w:rPr>
      </w:pPr>
      <w:r>
        <w:rPr>
          <w:rFonts w:ascii="黑体" w:hAnsi="宋体" w:eastAsia="黑体"/>
          <w:color w:val="000000"/>
          <w:szCs w:val="21"/>
        </w:rPr>
        <w:t xml:space="preserve">6 </w:t>
      </w:r>
      <w:r>
        <w:rPr>
          <w:rFonts w:hint="eastAsia" w:ascii="黑体" w:hAnsi="宋体" w:eastAsia="黑体"/>
          <w:color w:val="000000"/>
          <w:szCs w:val="21"/>
        </w:rPr>
        <w:t>检验项目</w:t>
      </w:r>
    </w:p>
    <w:p>
      <w:pPr>
        <w:snapToGrid w:val="0"/>
        <w:spacing w:line="440" w:lineRule="exact"/>
        <w:ind w:firstLine="403" w:firstLineChars="192"/>
        <w:jc w:val="center"/>
        <w:rPr>
          <w:rFonts w:ascii="宋体" w:hAnsi="宋体"/>
          <w:color w:val="000000"/>
          <w:szCs w:val="21"/>
        </w:rPr>
      </w:pPr>
    </w:p>
    <w:p>
      <w:pPr>
        <w:snapToGrid w:val="0"/>
        <w:spacing w:line="440" w:lineRule="exact"/>
        <w:ind w:firstLine="403" w:firstLineChars="192"/>
        <w:jc w:val="center"/>
        <w:rPr>
          <w:rFonts w:ascii="宋体" w:hAnsi="宋体"/>
          <w:color w:val="000000"/>
          <w:szCs w:val="21"/>
        </w:rPr>
      </w:pPr>
      <w:r>
        <w:rPr>
          <w:rFonts w:hint="eastAsia" w:ascii="宋体" w:hAnsi="宋体"/>
          <w:color w:val="000000"/>
          <w:szCs w:val="21"/>
        </w:rPr>
        <w:t>表4食品用容器、工具检验项目</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567"/>
        <w:gridCol w:w="1962"/>
        <w:gridCol w:w="2126"/>
        <w:gridCol w:w="2008"/>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blHeader/>
          <w:jc w:val="center"/>
        </w:trPr>
        <w:tc>
          <w:tcPr>
            <w:tcW w:w="727" w:type="dxa"/>
            <w:vAlign w:val="top"/>
          </w:tcPr>
          <w:p>
            <w:pPr>
              <w:spacing w:line="360" w:lineRule="auto"/>
              <w:jc w:val="center"/>
              <w:outlineLvl w:val="0"/>
              <w:rPr>
                <w:rFonts w:ascii="宋体" w:hAnsi="宋体"/>
                <w:b/>
                <w:color w:val="000000"/>
                <w:szCs w:val="21"/>
              </w:rPr>
            </w:pPr>
            <w:r>
              <w:rPr>
                <w:rFonts w:hint="eastAsia" w:ascii="宋体" w:hAnsi="宋体"/>
                <w:b/>
                <w:color w:val="000000"/>
                <w:szCs w:val="21"/>
              </w:rPr>
              <w:t>产品</w:t>
            </w:r>
          </w:p>
        </w:tc>
        <w:tc>
          <w:tcPr>
            <w:tcW w:w="567" w:type="dxa"/>
            <w:vAlign w:val="center"/>
          </w:tcPr>
          <w:p>
            <w:pPr>
              <w:spacing w:line="360" w:lineRule="auto"/>
              <w:jc w:val="center"/>
              <w:outlineLvl w:val="0"/>
              <w:rPr>
                <w:rFonts w:ascii="宋体" w:hAnsi="宋体"/>
                <w:b/>
                <w:color w:val="000000"/>
                <w:szCs w:val="21"/>
              </w:rPr>
            </w:pPr>
            <w:r>
              <w:rPr>
                <w:rFonts w:hint="eastAsia" w:ascii="宋体" w:hAnsi="宋体"/>
                <w:b/>
                <w:color w:val="000000"/>
                <w:szCs w:val="21"/>
              </w:rPr>
              <w:t>序号</w:t>
            </w:r>
          </w:p>
        </w:tc>
        <w:tc>
          <w:tcPr>
            <w:tcW w:w="1962" w:type="dxa"/>
            <w:vAlign w:val="center"/>
          </w:tcPr>
          <w:p>
            <w:pPr>
              <w:spacing w:line="360" w:lineRule="auto"/>
              <w:jc w:val="center"/>
              <w:outlineLvl w:val="0"/>
              <w:rPr>
                <w:rFonts w:ascii="宋体" w:hAnsi="宋体"/>
                <w:b/>
                <w:color w:val="000000"/>
                <w:szCs w:val="21"/>
              </w:rPr>
            </w:pPr>
            <w:r>
              <w:rPr>
                <w:rFonts w:hint="eastAsia" w:ascii="宋体" w:hAnsi="宋体"/>
                <w:b/>
                <w:color w:val="000000"/>
                <w:szCs w:val="21"/>
              </w:rPr>
              <w:t>检验项目</w:t>
            </w:r>
          </w:p>
        </w:tc>
        <w:tc>
          <w:tcPr>
            <w:tcW w:w="2126" w:type="dxa"/>
            <w:vAlign w:val="center"/>
          </w:tcPr>
          <w:p>
            <w:pPr>
              <w:spacing w:line="360" w:lineRule="auto"/>
              <w:jc w:val="center"/>
              <w:outlineLvl w:val="0"/>
              <w:rPr>
                <w:rFonts w:ascii="宋体" w:hAnsi="宋体"/>
                <w:b/>
                <w:color w:val="000000"/>
                <w:szCs w:val="21"/>
              </w:rPr>
            </w:pPr>
            <w:r>
              <w:rPr>
                <w:rFonts w:hint="eastAsia" w:ascii="宋体" w:hAnsi="宋体"/>
                <w:b/>
                <w:color w:val="000000"/>
                <w:szCs w:val="21"/>
              </w:rPr>
              <w:t>依据法律法规</w:t>
            </w:r>
          </w:p>
          <w:p>
            <w:pPr>
              <w:spacing w:line="360" w:lineRule="auto"/>
              <w:jc w:val="center"/>
              <w:outlineLvl w:val="0"/>
              <w:rPr>
                <w:rFonts w:ascii="宋体" w:hAnsi="宋体"/>
                <w:b/>
                <w:color w:val="000000"/>
                <w:szCs w:val="21"/>
              </w:rPr>
            </w:pPr>
            <w:r>
              <w:rPr>
                <w:rFonts w:hint="eastAsia" w:ascii="宋体" w:hAnsi="宋体"/>
                <w:b/>
                <w:color w:val="000000"/>
                <w:szCs w:val="21"/>
              </w:rPr>
              <w:t>或标准条款</w:t>
            </w:r>
          </w:p>
        </w:tc>
        <w:tc>
          <w:tcPr>
            <w:tcW w:w="2008" w:type="dxa"/>
            <w:vAlign w:val="center"/>
          </w:tcPr>
          <w:p>
            <w:pPr>
              <w:spacing w:line="360" w:lineRule="auto"/>
              <w:jc w:val="center"/>
              <w:outlineLvl w:val="0"/>
              <w:rPr>
                <w:rFonts w:ascii="宋体" w:hAnsi="宋体"/>
                <w:b/>
                <w:color w:val="000000"/>
                <w:szCs w:val="21"/>
              </w:rPr>
            </w:pPr>
            <w:r>
              <w:rPr>
                <w:rFonts w:hint="eastAsia" w:ascii="宋体" w:hAnsi="宋体"/>
                <w:b/>
                <w:color w:val="000000"/>
                <w:szCs w:val="21"/>
              </w:rPr>
              <w:t>检测方法</w:t>
            </w:r>
          </w:p>
        </w:tc>
        <w:tc>
          <w:tcPr>
            <w:tcW w:w="1394" w:type="dxa"/>
            <w:vAlign w:val="center"/>
          </w:tcPr>
          <w:p>
            <w:pPr>
              <w:spacing w:line="360" w:lineRule="auto"/>
              <w:jc w:val="center"/>
              <w:outlineLvl w:val="0"/>
              <w:rPr>
                <w:rFonts w:ascii="宋体" w:hAnsi="宋体"/>
                <w:b/>
                <w:color w:val="000000"/>
                <w:szCs w:val="21"/>
              </w:rPr>
            </w:pPr>
            <w:r>
              <w:rPr>
                <w:rFonts w:hint="eastAsia" w:ascii="宋体" w:hAnsi="宋体" w:cs="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27" w:type="dxa"/>
            <w:vMerge w:val="restart"/>
            <w:vAlign w:val="center"/>
          </w:tcPr>
          <w:p>
            <w:pPr>
              <w:widowControl/>
              <w:jc w:val="center"/>
              <w:rPr>
                <w:sz w:val="18"/>
                <w:szCs w:val="18"/>
              </w:rPr>
            </w:pPr>
            <w:r>
              <w:rPr>
                <w:rFonts w:hint="eastAsia"/>
                <w:sz w:val="18"/>
                <w:szCs w:val="18"/>
              </w:rPr>
              <w:t>食品用塑料容器工具</w:t>
            </w:r>
          </w:p>
        </w:tc>
        <w:tc>
          <w:tcPr>
            <w:tcW w:w="567" w:type="dxa"/>
            <w:vAlign w:val="center"/>
          </w:tcPr>
          <w:p>
            <w:pPr>
              <w:widowControl/>
              <w:jc w:val="center"/>
              <w:rPr>
                <w:sz w:val="18"/>
                <w:szCs w:val="18"/>
              </w:rPr>
            </w:pPr>
            <w:r>
              <w:rPr>
                <w:rFonts w:hint="eastAsia"/>
                <w:sz w:val="18"/>
                <w:szCs w:val="18"/>
              </w:rPr>
              <w:t>1</w:t>
            </w:r>
          </w:p>
        </w:tc>
        <w:tc>
          <w:tcPr>
            <w:tcW w:w="1962" w:type="dxa"/>
            <w:vAlign w:val="center"/>
          </w:tcPr>
          <w:p>
            <w:pPr>
              <w:widowControl/>
              <w:rPr>
                <w:sz w:val="18"/>
                <w:szCs w:val="18"/>
              </w:rPr>
            </w:pPr>
            <w:r>
              <w:rPr>
                <w:rFonts w:hint="eastAsia"/>
                <w:sz w:val="18"/>
                <w:szCs w:val="18"/>
              </w:rPr>
              <w:t>感官</w:t>
            </w:r>
          </w:p>
        </w:tc>
        <w:tc>
          <w:tcPr>
            <w:tcW w:w="2126" w:type="dxa"/>
            <w:vAlign w:val="center"/>
          </w:tcPr>
          <w:p>
            <w:pPr>
              <w:widowControl/>
              <w:jc w:val="center"/>
              <w:rPr>
                <w:sz w:val="18"/>
                <w:szCs w:val="18"/>
              </w:rPr>
            </w:pPr>
            <w:r>
              <w:rPr>
                <w:rFonts w:hint="eastAsia"/>
                <w:sz w:val="18"/>
                <w:szCs w:val="18"/>
              </w:rPr>
              <w:t>GB 4806.7-2016</w:t>
            </w:r>
          </w:p>
        </w:tc>
        <w:tc>
          <w:tcPr>
            <w:tcW w:w="2008" w:type="dxa"/>
            <w:vAlign w:val="center"/>
          </w:tcPr>
          <w:p>
            <w:pPr>
              <w:widowControl/>
              <w:jc w:val="center"/>
              <w:rPr>
                <w:sz w:val="18"/>
                <w:szCs w:val="18"/>
              </w:rPr>
            </w:pPr>
            <w:r>
              <w:rPr>
                <w:rFonts w:hint="eastAsia"/>
                <w:sz w:val="18"/>
                <w:szCs w:val="18"/>
              </w:rPr>
              <w:t>GB 4806.7-2016</w:t>
            </w:r>
          </w:p>
        </w:tc>
        <w:tc>
          <w:tcPr>
            <w:tcW w:w="1394" w:type="dxa"/>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27" w:type="dxa"/>
            <w:vMerge w:val="continue"/>
            <w:vAlign w:val="top"/>
          </w:tcPr>
          <w:p>
            <w:pPr>
              <w:widowControl/>
              <w:jc w:val="center"/>
              <w:rPr>
                <w:sz w:val="18"/>
                <w:szCs w:val="18"/>
              </w:rPr>
            </w:pPr>
          </w:p>
        </w:tc>
        <w:tc>
          <w:tcPr>
            <w:tcW w:w="567" w:type="dxa"/>
            <w:vAlign w:val="center"/>
          </w:tcPr>
          <w:p>
            <w:pPr>
              <w:widowControl/>
              <w:jc w:val="center"/>
              <w:rPr>
                <w:sz w:val="18"/>
                <w:szCs w:val="18"/>
              </w:rPr>
            </w:pPr>
            <w:r>
              <w:rPr>
                <w:rFonts w:hint="eastAsia"/>
                <w:sz w:val="18"/>
                <w:szCs w:val="18"/>
              </w:rPr>
              <w:t>2</w:t>
            </w:r>
          </w:p>
        </w:tc>
        <w:tc>
          <w:tcPr>
            <w:tcW w:w="1962" w:type="dxa"/>
            <w:vAlign w:val="center"/>
          </w:tcPr>
          <w:p>
            <w:pPr>
              <w:widowControl/>
              <w:textAlignment w:val="center"/>
              <w:rPr>
                <w:sz w:val="18"/>
                <w:szCs w:val="18"/>
              </w:rPr>
            </w:pPr>
            <w:r>
              <w:rPr>
                <w:rFonts w:hint="eastAsia"/>
                <w:sz w:val="18"/>
                <w:szCs w:val="18"/>
              </w:rPr>
              <w:t>高锰酸钾消耗量</w:t>
            </w:r>
          </w:p>
        </w:tc>
        <w:tc>
          <w:tcPr>
            <w:tcW w:w="2126" w:type="dxa"/>
            <w:vAlign w:val="center"/>
          </w:tcPr>
          <w:p>
            <w:pPr>
              <w:widowControl/>
              <w:jc w:val="center"/>
              <w:textAlignment w:val="center"/>
              <w:rPr>
                <w:sz w:val="18"/>
                <w:szCs w:val="18"/>
              </w:rPr>
            </w:pPr>
            <w:r>
              <w:rPr>
                <w:rFonts w:hint="eastAsia"/>
                <w:sz w:val="18"/>
                <w:szCs w:val="18"/>
              </w:rPr>
              <w:t>GB 4806.7-2016</w:t>
            </w:r>
          </w:p>
        </w:tc>
        <w:tc>
          <w:tcPr>
            <w:tcW w:w="2008" w:type="dxa"/>
            <w:vAlign w:val="center"/>
          </w:tcPr>
          <w:p>
            <w:pPr>
              <w:widowControl/>
              <w:jc w:val="center"/>
              <w:textAlignment w:val="center"/>
              <w:rPr>
                <w:sz w:val="18"/>
                <w:szCs w:val="18"/>
              </w:rPr>
            </w:pPr>
            <w:r>
              <w:rPr>
                <w:rFonts w:hint="eastAsia"/>
                <w:sz w:val="18"/>
                <w:szCs w:val="18"/>
              </w:rPr>
              <w:t>GB 31604.2-2016</w:t>
            </w:r>
          </w:p>
        </w:tc>
        <w:tc>
          <w:tcPr>
            <w:tcW w:w="1394" w:type="dxa"/>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27" w:type="dxa"/>
            <w:vMerge w:val="continue"/>
            <w:vAlign w:val="top"/>
          </w:tcPr>
          <w:p>
            <w:pPr>
              <w:widowControl/>
              <w:jc w:val="center"/>
              <w:rPr>
                <w:sz w:val="18"/>
                <w:szCs w:val="18"/>
              </w:rPr>
            </w:pPr>
          </w:p>
        </w:tc>
        <w:tc>
          <w:tcPr>
            <w:tcW w:w="567" w:type="dxa"/>
            <w:vAlign w:val="center"/>
          </w:tcPr>
          <w:p>
            <w:pPr>
              <w:widowControl/>
              <w:jc w:val="center"/>
              <w:rPr>
                <w:sz w:val="18"/>
                <w:szCs w:val="18"/>
              </w:rPr>
            </w:pPr>
            <w:r>
              <w:rPr>
                <w:rFonts w:hint="eastAsia"/>
                <w:sz w:val="18"/>
                <w:szCs w:val="18"/>
              </w:rPr>
              <w:t>3</w:t>
            </w:r>
          </w:p>
        </w:tc>
        <w:tc>
          <w:tcPr>
            <w:tcW w:w="1962" w:type="dxa"/>
            <w:vAlign w:val="center"/>
          </w:tcPr>
          <w:p>
            <w:pPr>
              <w:widowControl/>
              <w:textAlignment w:val="center"/>
              <w:rPr>
                <w:sz w:val="18"/>
                <w:szCs w:val="18"/>
              </w:rPr>
            </w:pPr>
            <w:r>
              <w:rPr>
                <w:rFonts w:hint="eastAsia"/>
                <w:sz w:val="18"/>
                <w:szCs w:val="18"/>
              </w:rPr>
              <w:t>总迁移量</w:t>
            </w:r>
          </w:p>
        </w:tc>
        <w:tc>
          <w:tcPr>
            <w:tcW w:w="2126" w:type="dxa"/>
            <w:vAlign w:val="center"/>
          </w:tcPr>
          <w:p>
            <w:pPr>
              <w:widowControl/>
              <w:jc w:val="center"/>
              <w:textAlignment w:val="center"/>
              <w:rPr>
                <w:sz w:val="18"/>
                <w:szCs w:val="18"/>
              </w:rPr>
            </w:pPr>
            <w:r>
              <w:rPr>
                <w:rFonts w:hint="eastAsia"/>
                <w:sz w:val="18"/>
                <w:szCs w:val="18"/>
              </w:rPr>
              <w:t>GB 4806.7-2016</w:t>
            </w:r>
          </w:p>
        </w:tc>
        <w:tc>
          <w:tcPr>
            <w:tcW w:w="2008" w:type="dxa"/>
            <w:vAlign w:val="center"/>
          </w:tcPr>
          <w:p>
            <w:pPr>
              <w:widowControl/>
              <w:jc w:val="center"/>
              <w:textAlignment w:val="center"/>
              <w:rPr>
                <w:sz w:val="18"/>
                <w:szCs w:val="18"/>
              </w:rPr>
            </w:pPr>
            <w:r>
              <w:rPr>
                <w:rFonts w:hint="eastAsia"/>
                <w:sz w:val="18"/>
                <w:szCs w:val="18"/>
              </w:rPr>
              <w:t>GB 31604.8-2016</w:t>
            </w:r>
          </w:p>
        </w:tc>
        <w:tc>
          <w:tcPr>
            <w:tcW w:w="1394" w:type="dxa"/>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27" w:type="dxa"/>
            <w:vMerge w:val="continue"/>
            <w:vAlign w:val="top"/>
          </w:tcPr>
          <w:p>
            <w:pPr>
              <w:widowControl/>
              <w:jc w:val="center"/>
              <w:rPr>
                <w:sz w:val="18"/>
                <w:szCs w:val="18"/>
              </w:rPr>
            </w:pPr>
          </w:p>
        </w:tc>
        <w:tc>
          <w:tcPr>
            <w:tcW w:w="567" w:type="dxa"/>
            <w:vAlign w:val="center"/>
          </w:tcPr>
          <w:p>
            <w:pPr>
              <w:widowControl/>
              <w:jc w:val="center"/>
              <w:rPr>
                <w:sz w:val="18"/>
                <w:szCs w:val="18"/>
              </w:rPr>
            </w:pPr>
            <w:r>
              <w:rPr>
                <w:rFonts w:hint="eastAsia"/>
                <w:sz w:val="18"/>
                <w:szCs w:val="18"/>
              </w:rPr>
              <w:t>4</w:t>
            </w:r>
          </w:p>
        </w:tc>
        <w:tc>
          <w:tcPr>
            <w:tcW w:w="1962" w:type="dxa"/>
            <w:vAlign w:val="center"/>
          </w:tcPr>
          <w:p>
            <w:pPr>
              <w:widowControl/>
              <w:textAlignment w:val="center"/>
              <w:rPr>
                <w:sz w:val="18"/>
                <w:szCs w:val="18"/>
              </w:rPr>
            </w:pPr>
            <w:r>
              <w:rPr>
                <w:rFonts w:hint="eastAsia"/>
                <w:sz w:val="18"/>
                <w:szCs w:val="18"/>
              </w:rPr>
              <w:t>重金属</w:t>
            </w:r>
          </w:p>
        </w:tc>
        <w:tc>
          <w:tcPr>
            <w:tcW w:w="2126" w:type="dxa"/>
            <w:vAlign w:val="center"/>
          </w:tcPr>
          <w:p>
            <w:pPr>
              <w:widowControl/>
              <w:jc w:val="center"/>
              <w:textAlignment w:val="center"/>
              <w:rPr>
                <w:sz w:val="18"/>
                <w:szCs w:val="18"/>
              </w:rPr>
            </w:pPr>
            <w:r>
              <w:rPr>
                <w:rFonts w:hint="eastAsia"/>
                <w:sz w:val="18"/>
                <w:szCs w:val="18"/>
              </w:rPr>
              <w:t>GB 4806.7-2016</w:t>
            </w:r>
          </w:p>
        </w:tc>
        <w:tc>
          <w:tcPr>
            <w:tcW w:w="2008" w:type="dxa"/>
            <w:vAlign w:val="center"/>
          </w:tcPr>
          <w:p>
            <w:pPr>
              <w:widowControl/>
              <w:jc w:val="center"/>
              <w:textAlignment w:val="center"/>
              <w:rPr>
                <w:sz w:val="18"/>
                <w:szCs w:val="18"/>
              </w:rPr>
            </w:pPr>
            <w:r>
              <w:rPr>
                <w:rFonts w:hint="eastAsia"/>
                <w:sz w:val="18"/>
                <w:szCs w:val="18"/>
              </w:rPr>
              <w:t>GB 31604.9-2016</w:t>
            </w:r>
          </w:p>
        </w:tc>
        <w:tc>
          <w:tcPr>
            <w:tcW w:w="1394" w:type="dxa"/>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727" w:type="dxa"/>
            <w:vMerge w:val="continue"/>
            <w:vAlign w:val="top"/>
          </w:tcPr>
          <w:p>
            <w:pPr>
              <w:widowControl/>
              <w:jc w:val="center"/>
              <w:rPr>
                <w:sz w:val="18"/>
                <w:szCs w:val="18"/>
              </w:rPr>
            </w:pPr>
          </w:p>
        </w:tc>
        <w:tc>
          <w:tcPr>
            <w:tcW w:w="567" w:type="dxa"/>
            <w:vAlign w:val="center"/>
          </w:tcPr>
          <w:p>
            <w:pPr>
              <w:widowControl/>
              <w:jc w:val="center"/>
              <w:rPr>
                <w:sz w:val="18"/>
                <w:szCs w:val="18"/>
              </w:rPr>
            </w:pPr>
            <w:r>
              <w:rPr>
                <w:rFonts w:hint="eastAsia"/>
                <w:sz w:val="18"/>
                <w:szCs w:val="18"/>
              </w:rPr>
              <w:t>5</w:t>
            </w:r>
          </w:p>
        </w:tc>
        <w:tc>
          <w:tcPr>
            <w:tcW w:w="1962" w:type="dxa"/>
            <w:vAlign w:val="center"/>
          </w:tcPr>
          <w:p>
            <w:pPr>
              <w:widowControl/>
              <w:rPr>
                <w:sz w:val="18"/>
                <w:szCs w:val="18"/>
              </w:rPr>
            </w:pPr>
            <w:r>
              <w:rPr>
                <w:rFonts w:hint="eastAsia"/>
                <w:sz w:val="18"/>
                <w:szCs w:val="18"/>
              </w:rPr>
              <w:t>脱色试验</w:t>
            </w:r>
          </w:p>
        </w:tc>
        <w:tc>
          <w:tcPr>
            <w:tcW w:w="2126" w:type="dxa"/>
            <w:vAlign w:val="center"/>
          </w:tcPr>
          <w:p>
            <w:pPr>
              <w:widowControl/>
              <w:jc w:val="center"/>
              <w:rPr>
                <w:sz w:val="18"/>
                <w:szCs w:val="18"/>
              </w:rPr>
            </w:pPr>
            <w:r>
              <w:rPr>
                <w:rFonts w:hint="eastAsia"/>
                <w:sz w:val="18"/>
                <w:szCs w:val="18"/>
              </w:rPr>
              <w:t>GB 4806.7-2016</w:t>
            </w:r>
          </w:p>
        </w:tc>
        <w:tc>
          <w:tcPr>
            <w:tcW w:w="2008" w:type="dxa"/>
            <w:vAlign w:val="center"/>
          </w:tcPr>
          <w:p>
            <w:pPr>
              <w:widowControl/>
              <w:jc w:val="center"/>
              <w:rPr>
                <w:sz w:val="18"/>
                <w:szCs w:val="18"/>
              </w:rPr>
            </w:pPr>
            <w:r>
              <w:rPr>
                <w:rFonts w:hint="eastAsia"/>
                <w:sz w:val="18"/>
                <w:szCs w:val="18"/>
              </w:rPr>
              <w:t>GB 31604.7-2016</w:t>
            </w:r>
          </w:p>
        </w:tc>
        <w:tc>
          <w:tcPr>
            <w:tcW w:w="1394" w:type="dxa"/>
            <w:vAlign w:val="center"/>
          </w:tcPr>
          <w:p>
            <w:pPr>
              <w:widowControl/>
              <w:jc w:val="center"/>
              <w:rPr>
                <w:sz w:val="18"/>
                <w:szCs w:val="18"/>
              </w:rPr>
            </w:pPr>
            <w:r>
              <w:rPr>
                <w:rFonts w:hint="eastAsia"/>
                <w:sz w:val="18"/>
                <w:szCs w:val="18"/>
              </w:rPr>
              <w:t>仅适用添加了着色剂的产品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27" w:type="dxa"/>
            <w:vMerge w:val="continue"/>
            <w:vAlign w:val="top"/>
          </w:tcPr>
          <w:p>
            <w:pPr>
              <w:widowControl/>
              <w:jc w:val="center"/>
              <w:rPr>
                <w:sz w:val="18"/>
                <w:szCs w:val="18"/>
              </w:rPr>
            </w:pPr>
          </w:p>
        </w:tc>
        <w:tc>
          <w:tcPr>
            <w:tcW w:w="567" w:type="dxa"/>
            <w:vAlign w:val="center"/>
          </w:tcPr>
          <w:p>
            <w:pPr>
              <w:widowControl/>
              <w:jc w:val="center"/>
              <w:rPr>
                <w:sz w:val="18"/>
                <w:szCs w:val="18"/>
              </w:rPr>
            </w:pPr>
            <w:r>
              <w:rPr>
                <w:sz w:val="18"/>
                <w:szCs w:val="18"/>
              </w:rPr>
              <w:t>6</w:t>
            </w:r>
          </w:p>
        </w:tc>
        <w:tc>
          <w:tcPr>
            <w:tcW w:w="1962" w:type="dxa"/>
            <w:vAlign w:val="center"/>
          </w:tcPr>
          <w:p>
            <w:pPr>
              <w:widowControl/>
              <w:textAlignment w:val="center"/>
              <w:rPr>
                <w:sz w:val="18"/>
                <w:szCs w:val="18"/>
              </w:rPr>
            </w:pPr>
            <w:r>
              <w:rPr>
                <w:rFonts w:hint="eastAsia"/>
                <w:sz w:val="18"/>
                <w:szCs w:val="18"/>
              </w:rPr>
              <w:t>双酚A特定迁移量</w:t>
            </w:r>
          </w:p>
        </w:tc>
        <w:tc>
          <w:tcPr>
            <w:tcW w:w="2126" w:type="dxa"/>
            <w:vAlign w:val="center"/>
          </w:tcPr>
          <w:p>
            <w:pPr>
              <w:widowControl/>
              <w:jc w:val="center"/>
              <w:textAlignment w:val="center"/>
              <w:rPr>
                <w:sz w:val="18"/>
                <w:szCs w:val="18"/>
              </w:rPr>
            </w:pPr>
            <w:r>
              <w:rPr>
                <w:rFonts w:hint="eastAsia"/>
                <w:sz w:val="18"/>
                <w:szCs w:val="18"/>
              </w:rPr>
              <w:t>GB 4806.6-2016</w:t>
            </w:r>
          </w:p>
        </w:tc>
        <w:tc>
          <w:tcPr>
            <w:tcW w:w="2008" w:type="dxa"/>
            <w:vAlign w:val="center"/>
          </w:tcPr>
          <w:p>
            <w:pPr>
              <w:widowControl/>
              <w:jc w:val="center"/>
              <w:textAlignment w:val="center"/>
              <w:rPr>
                <w:sz w:val="18"/>
                <w:szCs w:val="18"/>
              </w:rPr>
            </w:pPr>
            <w:r>
              <w:rPr>
                <w:rFonts w:hint="eastAsia"/>
                <w:sz w:val="18"/>
                <w:szCs w:val="18"/>
              </w:rPr>
              <w:t>GB 31604.10-2016</w:t>
            </w:r>
          </w:p>
        </w:tc>
        <w:tc>
          <w:tcPr>
            <w:tcW w:w="1394" w:type="dxa"/>
            <w:vAlign w:val="center"/>
          </w:tcPr>
          <w:p>
            <w:pPr>
              <w:widowControl/>
              <w:jc w:val="center"/>
              <w:rPr>
                <w:sz w:val="18"/>
                <w:szCs w:val="18"/>
              </w:rPr>
            </w:pPr>
            <w:r>
              <w:rPr>
                <w:rFonts w:hint="eastAsia"/>
                <w:sz w:val="18"/>
                <w:szCs w:val="18"/>
              </w:rPr>
              <w:t>限PC材质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27" w:type="dxa"/>
            <w:vMerge w:val="continue"/>
            <w:vAlign w:val="center"/>
          </w:tcPr>
          <w:p>
            <w:pPr>
              <w:widowControl/>
              <w:jc w:val="center"/>
              <w:rPr>
                <w:sz w:val="18"/>
                <w:szCs w:val="18"/>
              </w:rPr>
            </w:pPr>
          </w:p>
        </w:tc>
        <w:tc>
          <w:tcPr>
            <w:tcW w:w="567" w:type="dxa"/>
            <w:vAlign w:val="center"/>
          </w:tcPr>
          <w:p>
            <w:pPr>
              <w:widowControl/>
              <w:jc w:val="center"/>
              <w:rPr>
                <w:sz w:val="18"/>
                <w:szCs w:val="18"/>
              </w:rPr>
            </w:pPr>
            <w:r>
              <w:rPr>
                <w:sz w:val="18"/>
                <w:szCs w:val="18"/>
              </w:rPr>
              <w:t>7</w:t>
            </w:r>
          </w:p>
        </w:tc>
        <w:tc>
          <w:tcPr>
            <w:tcW w:w="1962" w:type="dxa"/>
            <w:vAlign w:val="center"/>
          </w:tcPr>
          <w:p>
            <w:pPr>
              <w:widowControl/>
              <w:textAlignment w:val="center"/>
              <w:rPr>
                <w:sz w:val="18"/>
                <w:szCs w:val="18"/>
              </w:rPr>
            </w:pPr>
            <w:r>
              <w:rPr>
                <w:rFonts w:hint="eastAsia"/>
                <w:sz w:val="18"/>
                <w:szCs w:val="18"/>
              </w:rPr>
              <w:t>锑特定迁移量</w:t>
            </w:r>
          </w:p>
        </w:tc>
        <w:tc>
          <w:tcPr>
            <w:tcW w:w="2126" w:type="dxa"/>
            <w:vAlign w:val="center"/>
          </w:tcPr>
          <w:p>
            <w:pPr>
              <w:widowControl/>
              <w:jc w:val="center"/>
              <w:textAlignment w:val="center"/>
              <w:rPr>
                <w:sz w:val="18"/>
                <w:szCs w:val="18"/>
              </w:rPr>
            </w:pPr>
            <w:r>
              <w:rPr>
                <w:rFonts w:hint="eastAsia"/>
                <w:sz w:val="18"/>
                <w:szCs w:val="18"/>
              </w:rPr>
              <w:t>GB 4806.6-2016</w:t>
            </w:r>
          </w:p>
        </w:tc>
        <w:tc>
          <w:tcPr>
            <w:tcW w:w="2008" w:type="dxa"/>
            <w:vAlign w:val="center"/>
          </w:tcPr>
          <w:p>
            <w:pPr>
              <w:widowControl/>
              <w:jc w:val="center"/>
              <w:textAlignment w:val="center"/>
              <w:rPr>
                <w:sz w:val="18"/>
                <w:szCs w:val="18"/>
              </w:rPr>
            </w:pPr>
            <w:r>
              <w:rPr>
                <w:rFonts w:hint="eastAsia"/>
                <w:sz w:val="18"/>
                <w:szCs w:val="18"/>
              </w:rPr>
              <w:t>GB 31604.41-2016</w:t>
            </w:r>
          </w:p>
        </w:tc>
        <w:tc>
          <w:tcPr>
            <w:tcW w:w="1394" w:type="dxa"/>
            <w:vAlign w:val="center"/>
          </w:tcPr>
          <w:p>
            <w:pPr>
              <w:widowControl/>
              <w:jc w:val="center"/>
              <w:rPr>
                <w:sz w:val="18"/>
                <w:szCs w:val="18"/>
              </w:rPr>
            </w:pPr>
            <w:r>
              <w:rPr>
                <w:rFonts w:hint="eastAsia"/>
                <w:sz w:val="18"/>
                <w:szCs w:val="18"/>
              </w:rPr>
              <w:t>限PET材质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7" w:type="dxa"/>
            <w:vMerge w:val="continue"/>
            <w:vAlign w:val="top"/>
          </w:tcPr>
          <w:p>
            <w:pPr>
              <w:widowControl/>
              <w:jc w:val="center"/>
              <w:rPr>
                <w:sz w:val="18"/>
                <w:szCs w:val="18"/>
              </w:rPr>
            </w:pPr>
          </w:p>
        </w:tc>
        <w:tc>
          <w:tcPr>
            <w:tcW w:w="567" w:type="dxa"/>
            <w:vAlign w:val="center"/>
          </w:tcPr>
          <w:p>
            <w:pPr>
              <w:widowControl/>
              <w:jc w:val="center"/>
              <w:rPr>
                <w:sz w:val="18"/>
                <w:szCs w:val="18"/>
              </w:rPr>
            </w:pPr>
            <w:r>
              <w:rPr>
                <w:sz w:val="18"/>
                <w:szCs w:val="18"/>
              </w:rPr>
              <w:t>8</w:t>
            </w:r>
          </w:p>
        </w:tc>
        <w:tc>
          <w:tcPr>
            <w:tcW w:w="1962" w:type="dxa"/>
            <w:vAlign w:val="center"/>
          </w:tcPr>
          <w:p>
            <w:pPr>
              <w:widowControl/>
              <w:textAlignment w:val="center"/>
              <w:rPr>
                <w:sz w:val="18"/>
                <w:szCs w:val="18"/>
              </w:rPr>
            </w:pPr>
            <w:r>
              <w:rPr>
                <w:rFonts w:hint="eastAsia"/>
                <w:sz w:val="18"/>
                <w:szCs w:val="18"/>
              </w:rPr>
              <w:t>游离酚特定迁移量</w:t>
            </w:r>
          </w:p>
        </w:tc>
        <w:tc>
          <w:tcPr>
            <w:tcW w:w="2126" w:type="dxa"/>
            <w:vAlign w:val="center"/>
          </w:tcPr>
          <w:p>
            <w:pPr>
              <w:widowControl/>
              <w:jc w:val="center"/>
              <w:textAlignment w:val="center"/>
              <w:rPr>
                <w:sz w:val="18"/>
                <w:szCs w:val="18"/>
              </w:rPr>
            </w:pPr>
            <w:r>
              <w:rPr>
                <w:rFonts w:hint="eastAsia"/>
                <w:sz w:val="18"/>
                <w:szCs w:val="18"/>
              </w:rPr>
              <w:t>GB 4806.6-2016</w:t>
            </w:r>
          </w:p>
        </w:tc>
        <w:tc>
          <w:tcPr>
            <w:tcW w:w="2008" w:type="dxa"/>
            <w:vAlign w:val="center"/>
          </w:tcPr>
          <w:p>
            <w:pPr>
              <w:widowControl/>
              <w:jc w:val="center"/>
              <w:textAlignment w:val="center"/>
              <w:rPr>
                <w:sz w:val="18"/>
                <w:szCs w:val="18"/>
              </w:rPr>
            </w:pPr>
            <w:r>
              <w:rPr>
                <w:rFonts w:hint="eastAsia"/>
                <w:sz w:val="18"/>
                <w:szCs w:val="18"/>
              </w:rPr>
              <w:t>GB 31604.46-2016</w:t>
            </w:r>
          </w:p>
        </w:tc>
        <w:tc>
          <w:tcPr>
            <w:tcW w:w="1394" w:type="dxa"/>
            <w:vAlign w:val="center"/>
          </w:tcPr>
          <w:p>
            <w:pPr>
              <w:widowControl/>
              <w:jc w:val="center"/>
              <w:rPr>
                <w:sz w:val="18"/>
                <w:szCs w:val="18"/>
              </w:rPr>
            </w:pPr>
            <w:r>
              <w:rPr>
                <w:rFonts w:hint="eastAsia"/>
                <w:sz w:val="18"/>
                <w:szCs w:val="18"/>
              </w:rPr>
              <w:t>限PC材质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727" w:type="dxa"/>
            <w:vMerge w:val="continue"/>
            <w:vAlign w:val="top"/>
          </w:tcPr>
          <w:p>
            <w:pPr>
              <w:widowControl/>
              <w:jc w:val="center"/>
              <w:rPr>
                <w:sz w:val="18"/>
                <w:szCs w:val="18"/>
              </w:rPr>
            </w:pPr>
          </w:p>
        </w:tc>
        <w:tc>
          <w:tcPr>
            <w:tcW w:w="567" w:type="dxa"/>
            <w:vAlign w:val="center"/>
          </w:tcPr>
          <w:p>
            <w:pPr>
              <w:widowControl/>
              <w:jc w:val="center"/>
              <w:rPr>
                <w:sz w:val="18"/>
                <w:szCs w:val="18"/>
              </w:rPr>
            </w:pPr>
            <w:r>
              <w:rPr>
                <w:sz w:val="18"/>
                <w:szCs w:val="18"/>
              </w:rPr>
              <w:t>9</w:t>
            </w:r>
          </w:p>
        </w:tc>
        <w:tc>
          <w:tcPr>
            <w:tcW w:w="1962" w:type="dxa"/>
            <w:vAlign w:val="center"/>
          </w:tcPr>
          <w:p>
            <w:pPr>
              <w:widowControl/>
              <w:textAlignment w:val="center"/>
              <w:rPr>
                <w:sz w:val="18"/>
                <w:szCs w:val="18"/>
              </w:rPr>
            </w:pPr>
            <w:r>
              <w:rPr>
                <w:rFonts w:hint="eastAsia"/>
                <w:sz w:val="18"/>
                <w:szCs w:val="18"/>
              </w:rPr>
              <w:t>己内酰胺特定迁移量</w:t>
            </w:r>
          </w:p>
        </w:tc>
        <w:tc>
          <w:tcPr>
            <w:tcW w:w="2126" w:type="dxa"/>
            <w:vAlign w:val="center"/>
          </w:tcPr>
          <w:p>
            <w:pPr>
              <w:widowControl/>
              <w:jc w:val="center"/>
              <w:textAlignment w:val="center"/>
              <w:rPr>
                <w:sz w:val="18"/>
                <w:szCs w:val="18"/>
              </w:rPr>
            </w:pPr>
            <w:r>
              <w:rPr>
                <w:rFonts w:hint="eastAsia"/>
                <w:sz w:val="18"/>
                <w:szCs w:val="18"/>
              </w:rPr>
              <w:t>GB 4806.6-2016</w:t>
            </w:r>
          </w:p>
        </w:tc>
        <w:tc>
          <w:tcPr>
            <w:tcW w:w="2008" w:type="dxa"/>
            <w:vAlign w:val="center"/>
          </w:tcPr>
          <w:p>
            <w:pPr>
              <w:widowControl/>
              <w:jc w:val="center"/>
              <w:textAlignment w:val="center"/>
              <w:rPr>
                <w:sz w:val="18"/>
                <w:szCs w:val="18"/>
              </w:rPr>
            </w:pPr>
            <w:r>
              <w:rPr>
                <w:rFonts w:hint="eastAsia"/>
                <w:sz w:val="18"/>
                <w:szCs w:val="18"/>
              </w:rPr>
              <w:t>GB 31604.19-2016</w:t>
            </w:r>
          </w:p>
        </w:tc>
        <w:tc>
          <w:tcPr>
            <w:tcW w:w="1394" w:type="dxa"/>
            <w:vAlign w:val="center"/>
          </w:tcPr>
          <w:p>
            <w:pPr>
              <w:widowControl/>
              <w:jc w:val="center"/>
              <w:rPr>
                <w:sz w:val="18"/>
                <w:szCs w:val="18"/>
              </w:rPr>
            </w:pPr>
            <w:r>
              <w:rPr>
                <w:rFonts w:hint="eastAsia"/>
                <w:sz w:val="18"/>
                <w:szCs w:val="18"/>
              </w:rPr>
              <w:t>限PA材质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7" w:type="dxa"/>
            <w:vMerge w:val="continue"/>
            <w:vAlign w:val="top"/>
          </w:tcPr>
          <w:p>
            <w:pPr>
              <w:widowControl/>
              <w:jc w:val="center"/>
              <w:rPr>
                <w:sz w:val="18"/>
                <w:szCs w:val="18"/>
              </w:rPr>
            </w:pPr>
          </w:p>
        </w:tc>
        <w:tc>
          <w:tcPr>
            <w:tcW w:w="567" w:type="dxa"/>
            <w:vAlign w:val="center"/>
          </w:tcPr>
          <w:p>
            <w:pPr>
              <w:widowControl/>
              <w:jc w:val="center"/>
              <w:rPr>
                <w:sz w:val="18"/>
                <w:szCs w:val="18"/>
              </w:rPr>
            </w:pPr>
            <w:r>
              <w:rPr>
                <w:sz w:val="18"/>
                <w:szCs w:val="18"/>
              </w:rPr>
              <w:t>10</w:t>
            </w:r>
          </w:p>
        </w:tc>
        <w:tc>
          <w:tcPr>
            <w:tcW w:w="1962" w:type="dxa"/>
            <w:vAlign w:val="center"/>
          </w:tcPr>
          <w:p>
            <w:pPr>
              <w:widowControl/>
              <w:textAlignment w:val="center"/>
              <w:rPr>
                <w:sz w:val="18"/>
                <w:szCs w:val="18"/>
              </w:rPr>
            </w:pPr>
            <w:r>
              <w:rPr>
                <w:rFonts w:hint="eastAsia"/>
                <w:sz w:val="18"/>
                <w:szCs w:val="18"/>
              </w:rPr>
              <w:t>氯乙烯单体特定迁移量、最大残留量</w:t>
            </w:r>
          </w:p>
        </w:tc>
        <w:tc>
          <w:tcPr>
            <w:tcW w:w="2126" w:type="dxa"/>
            <w:vAlign w:val="center"/>
          </w:tcPr>
          <w:p>
            <w:pPr>
              <w:widowControl/>
              <w:jc w:val="center"/>
              <w:textAlignment w:val="center"/>
              <w:rPr>
                <w:sz w:val="18"/>
                <w:szCs w:val="18"/>
              </w:rPr>
            </w:pPr>
            <w:r>
              <w:rPr>
                <w:rFonts w:hint="eastAsia"/>
                <w:sz w:val="18"/>
                <w:szCs w:val="18"/>
              </w:rPr>
              <w:t>GB 4806.6-2016</w:t>
            </w:r>
          </w:p>
        </w:tc>
        <w:tc>
          <w:tcPr>
            <w:tcW w:w="2008" w:type="dxa"/>
            <w:vAlign w:val="center"/>
          </w:tcPr>
          <w:p>
            <w:pPr>
              <w:widowControl/>
              <w:jc w:val="center"/>
              <w:textAlignment w:val="center"/>
              <w:rPr>
                <w:sz w:val="18"/>
                <w:szCs w:val="18"/>
              </w:rPr>
            </w:pPr>
            <w:r>
              <w:rPr>
                <w:rFonts w:hint="eastAsia"/>
                <w:sz w:val="18"/>
                <w:szCs w:val="18"/>
              </w:rPr>
              <w:t>GB 31604.31-2016</w:t>
            </w:r>
          </w:p>
        </w:tc>
        <w:tc>
          <w:tcPr>
            <w:tcW w:w="1394" w:type="dxa"/>
            <w:vAlign w:val="center"/>
          </w:tcPr>
          <w:p>
            <w:pPr>
              <w:widowControl/>
              <w:jc w:val="center"/>
              <w:rPr>
                <w:sz w:val="18"/>
                <w:szCs w:val="18"/>
              </w:rPr>
            </w:pPr>
            <w:r>
              <w:rPr>
                <w:rFonts w:hint="eastAsia"/>
                <w:sz w:val="18"/>
                <w:szCs w:val="18"/>
              </w:rPr>
              <w:t>限PVC材质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27" w:type="dxa"/>
            <w:vMerge w:val="continue"/>
            <w:vAlign w:val="top"/>
          </w:tcPr>
          <w:p>
            <w:pPr>
              <w:widowControl/>
              <w:jc w:val="center"/>
              <w:rPr>
                <w:sz w:val="18"/>
                <w:szCs w:val="18"/>
              </w:rPr>
            </w:pPr>
          </w:p>
        </w:tc>
        <w:tc>
          <w:tcPr>
            <w:tcW w:w="567" w:type="dxa"/>
            <w:vAlign w:val="center"/>
          </w:tcPr>
          <w:p>
            <w:pPr>
              <w:widowControl/>
              <w:jc w:val="center"/>
              <w:textAlignment w:val="center"/>
              <w:rPr>
                <w:sz w:val="18"/>
                <w:szCs w:val="18"/>
              </w:rPr>
            </w:pPr>
            <w:r>
              <w:rPr>
                <w:sz w:val="18"/>
                <w:szCs w:val="18"/>
              </w:rPr>
              <w:t>11</w:t>
            </w:r>
          </w:p>
        </w:tc>
        <w:tc>
          <w:tcPr>
            <w:tcW w:w="1962" w:type="dxa"/>
            <w:vAlign w:val="center"/>
          </w:tcPr>
          <w:p>
            <w:pPr>
              <w:widowControl/>
              <w:textAlignment w:val="center"/>
              <w:rPr>
                <w:sz w:val="18"/>
                <w:szCs w:val="18"/>
              </w:rPr>
            </w:pPr>
            <w:r>
              <w:rPr>
                <w:rFonts w:hint="eastAsia"/>
                <w:sz w:val="18"/>
                <w:szCs w:val="18"/>
              </w:rPr>
              <w:t>其他单体及其他起始物的特定迁移限量、特定迁移总量限量、最大残留量</w:t>
            </w:r>
          </w:p>
        </w:tc>
        <w:tc>
          <w:tcPr>
            <w:tcW w:w="2126" w:type="dxa"/>
            <w:vAlign w:val="center"/>
          </w:tcPr>
          <w:p>
            <w:pPr>
              <w:widowControl/>
              <w:jc w:val="center"/>
              <w:textAlignment w:val="center"/>
              <w:rPr>
                <w:sz w:val="18"/>
                <w:szCs w:val="18"/>
              </w:rPr>
            </w:pPr>
            <w:r>
              <w:rPr>
                <w:rFonts w:hint="eastAsia"/>
                <w:sz w:val="18"/>
                <w:szCs w:val="18"/>
              </w:rPr>
              <w:t>GB 4806.6-2016</w:t>
            </w:r>
          </w:p>
          <w:p>
            <w:pPr>
              <w:widowControl/>
              <w:jc w:val="center"/>
              <w:textAlignment w:val="center"/>
              <w:rPr>
                <w:sz w:val="18"/>
                <w:szCs w:val="18"/>
              </w:rPr>
            </w:pPr>
            <w:r>
              <w:rPr>
                <w:sz w:val="18"/>
                <w:szCs w:val="18"/>
              </w:rPr>
              <w:t>GB 9685-2016</w:t>
            </w:r>
          </w:p>
        </w:tc>
        <w:tc>
          <w:tcPr>
            <w:tcW w:w="2008" w:type="dxa"/>
            <w:vAlign w:val="center"/>
          </w:tcPr>
          <w:p>
            <w:pPr>
              <w:widowControl/>
              <w:jc w:val="center"/>
              <w:textAlignment w:val="center"/>
              <w:rPr>
                <w:sz w:val="18"/>
                <w:szCs w:val="18"/>
              </w:rPr>
            </w:pPr>
            <w:r>
              <w:rPr>
                <w:rFonts w:hint="eastAsia"/>
                <w:sz w:val="18"/>
                <w:szCs w:val="18"/>
              </w:rPr>
              <w:t>GB 31604.15-2016等</w:t>
            </w:r>
          </w:p>
        </w:tc>
        <w:tc>
          <w:tcPr>
            <w:tcW w:w="1394" w:type="dxa"/>
            <w:vAlign w:val="center"/>
          </w:tcPr>
          <w:p>
            <w:pPr>
              <w:widowControl/>
              <w:jc w:val="center"/>
              <w:textAlignment w:val="center"/>
              <w:rPr>
                <w:sz w:val="18"/>
                <w:szCs w:val="18"/>
              </w:rPr>
            </w:pPr>
            <w:r>
              <w:rPr>
                <w:rFonts w:hint="eastAsia"/>
                <w:sz w:val="18"/>
                <w:szCs w:val="18"/>
              </w:rPr>
              <w:t>视产品标识或符合性声明而定</w:t>
            </w:r>
          </w:p>
        </w:tc>
      </w:tr>
    </w:tbl>
    <w:p>
      <w:pPr>
        <w:snapToGrid w:val="0"/>
        <w:spacing w:line="440" w:lineRule="exact"/>
        <w:rPr>
          <w:rFonts w:ascii="宋体" w:hAnsi="宋体"/>
          <w:sz w:val="18"/>
          <w:szCs w:val="18"/>
        </w:rPr>
      </w:pPr>
      <w:r>
        <w:rPr>
          <w:rFonts w:hint="eastAsia" w:ascii="宋体" w:hAnsi="宋体"/>
          <w:sz w:val="18"/>
          <w:szCs w:val="18"/>
        </w:rPr>
        <w:t>注意：</w:t>
      </w:r>
      <w:r>
        <w:rPr>
          <w:rFonts w:ascii="宋体" w:hAnsi="宋体"/>
          <w:sz w:val="18"/>
          <w:szCs w:val="18"/>
        </w:rPr>
        <w:t xml:space="preserve"> </w:t>
      </w:r>
      <w:r>
        <w:rPr>
          <w:rFonts w:hint="eastAsia" w:ascii="宋体" w:hAnsi="宋体"/>
          <w:sz w:val="18"/>
          <w:szCs w:val="18"/>
        </w:rPr>
        <w:t>①凡是注日期的文件，其随后所有的修改单（不包括勘误的内容）或修订版不适用于本细则。凡是不注日期的文件，其最新版本适用于本细则；</w:t>
      </w:r>
    </w:p>
    <w:p>
      <w:pPr>
        <w:snapToGrid w:val="0"/>
        <w:spacing w:line="440" w:lineRule="exact"/>
        <w:ind w:firstLine="630" w:firstLineChars="350"/>
        <w:rPr>
          <w:rFonts w:ascii="宋体" w:hAnsi="宋体"/>
          <w:sz w:val="18"/>
          <w:szCs w:val="18"/>
        </w:rPr>
      </w:pPr>
      <w:r>
        <w:rPr>
          <w:rFonts w:hint="eastAsia" w:ascii="宋体" w:hAnsi="宋体"/>
          <w:sz w:val="18"/>
          <w:szCs w:val="18"/>
        </w:rPr>
        <w:t>②接收样品应当有专人负责检查、记录样品的外观、状态、封条有无破损及其他可能对检测结果或者综合判定产生影响的情况，并确认样品与抽样单的记录是否相符，加贴相应标识后入库；</w:t>
      </w:r>
    </w:p>
    <w:p>
      <w:pPr>
        <w:snapToGrid w:val="0"/>
        <w:spacing w:line="440" w:lineRule="exact"/>
        <w:ind w:firstLine="630" w:firstLineChars="350"/>
        <w:rPr>
          <w:rFonts w:ascii="宋体" w:hAnsi="宋体"/>
          <w:sz w:val="18"/>
          <w:szCs w:val="18"/>
        </w:rPr>
      </w:pPr>
      <w:r>
        <w:rPr>
          <w:rFonts w:hint="eastAsia" w:ascii="宋体" w:hAnsi="宋体"/>
          <w:sz w:val="18"/>
          <w:szCs w:val="18"/>
        </w:rPr>
        <w:t>③项目检验后，不合格样品应保留。</w:t>
      </w:r>
    </w:p>
    <w:p>
      <w:pPr>
        <w:snapToGrid w:val="0"/>
        <w:spacing w:line="440" w:lineRule="exact"/>
        <w:rPr>
          <w:rFonts w:ascii="黑体" w:hAnsi="宋体" w:eastAsia="黑体"/>
          <w:color w:val="000000"/>
          <w:szCs w:val="21"/>
        </w:rPr>
      </w:pPr>
      <w:r>
        <w:rPr>
          <w:rFonts w:ascii="黑体" w:hAnsi="宋体" w:eastAsia="黑体"/>
          <w:color w:val="000000"/>
          <w:szCs w:val="21"/>
        </w:rPr>
        <w:t>6</w:t>
      </w:r>
      <w:r>
        <w:rPr>
          <w:rFonts w:hint="eastAsia" w:ascii="黑体" w:hAnsi="宋体" w:eastAsia="黑体"/>
          <w:color w:val="000000"/>
          <w:szCs w:val="21"/>
        </w:rPr>
        <w:t>.2检验应注意的问题</w:t>
      </w:r>
    </w:p>
    <w:p>
      <w:pPr>
        <w:adjustRightInd w:val="0"/>
        <w:snapToGrid w:val="0"/>
        <w:spacing w:line="520" w:lineRule="exact"/>
        <w:ind w:firstLine="420" w:firstLineChars="200"/>
        <w:rPr>
          <w:rFonts w:ascii="Times New Roman" w:hAnsi="Times New Roman"/>
          <w:color w:val="000000"/>
        </w:rPr>
      </w:pPr>
      <w:r>
        <w:rPr>
          <w:rFonts w:hint="eastAsia" w:ascii="Times New Roman" w:hAnsi="Times New Roman"/>
          <w:color w:val="000000"/>
        </w:rPr>
        <w:t>若被检产品明示的质量要求高于本细则中检验项目依据的标准要求时，应按被检产品明示的质量要求判定。</w:t>
      </w:r>
    </w:p>
    <w:p>
      <w:pPr>
        <w:adjustRightInd w:val="0"/>
        <w:snapToGrid w:val="0"/>
        <w:spacing w:line="520" w:lineRule="exact"/>
        <w:ind w:firstLine="420" w:firstLineChars="200"/>
        <w:rPr>
          <w:rFonts w:ascii="Times New Roman" w:hAnsi="Times New Roman"/>
          <w:color w:val="000000"/>
        </w:rPr>
      </w:pPr>
      <w:r>
        <w:rPr>
          <w:rFonts w:hint="eastAsia" w:ascii="Times New Roman" w:hAnsi="Times New Roman"/>
          <w:color w:val="000000"/>
        </w:rPr>
        <w:t>若被检产品明示的质量要求低于本细则中检验项目依据的强制性标准要求时，应按照强制性标准要求判定。</w:t>
      </w:r>
    </w:p>
    <w:p>
      <w:pPr>
        <w:adjustRightInd w:val="0"/>
        <w:snapToGrid w:val="0"/>
        <w:spacing w:line="520" w:lineRule="exact"/>
        <w:ind w:firstLine="420" w:firstLineChars="200"/>
        <w:rPr>
          <w:rFonts w:ascii="Times New Roman" w:hAnsi="Times New Roman"/>
          <w:color w:val="000000"/>
        </w:rPr>
      </w:pPr>
      <w:r>
        <w:rPr>
          <w:rFonts w:hint="eastAsia" w:ascii="Times New Roman" w:hAnsi="Times New Roman"/>
          <w:color w:val="000000"/>
        </w:rPr>
        <w:t>若被检产品明示的质量要求缺少本细则中检验项目依据的强制性标准要求时，应按照强制性标准要求判定。</w:t>
      </w:r>
    </w:p>
    <w:p>
      <w:pPr>
        <w:snapToGrid w:val="0"/>
        <w:spacing w:line="440" w:lineRule="exact"/>
        <w:rPr>
          <w:rFonts w:ascii="黑体" w:hAnsi="宋体" w:eastAsia="黑体"/>
          <w:color w:val="000000"/>
          <w:szCs w:val="21"/>
        </w:rPr>
      </w:pPr>
    </w:p>
    <w:p>
      <w:pPr>
        <w:snapToGrid w:val="0"/>
        <w:spacing w:line="440" w:lineRule="exact"/>
        <w:rPr>
          <w:rFonts w:ascii="黑体" w:hAnsi="宋体" w:eastAsia="黑体"/>
          <w:color w:val="000000"/>
          <w:szCs w:val="21"/>
        </w:rPr>
      </w:pPr>
      <w:r>
        <w:rPr>
          <w:rFonts w:ascii="黑体" w:hAnsi="宋体" w:eastAsia="黑体"/>
          <w:color w:val="000000"/>
          <w:szCs w:val="21"/>
        </w:rPr>
        <w:t>7</w:t>
      </w:r>
      <w:r>
        <w:rPr>
          <w:rFonts w:hint="eastAsia" w:ascii="黑体" w:hAnsi="宋体" w:eastAsia="黑体"/>
          <w:color w:val="000000"/>
          <w:szCs w:val="21"/>
        </w:rPr>
        <w:t>判定原则</w:t>
      </w:r>
    </w:p>
    <w:p>
      <w:pPr>
        <w:adjustRightInd w:val="0"/>
        <w:snapToGrid w:val="0"/>
        <w:spacing w:line="520" w:lineRule="exact"/>
        <w:ind w:firstLine="420" w:firstLineChars="200"/>
        <w:rPr>
          <w:rFonts w:ascii="Times New Roman" w:hAnsi="Times New Roman"/>
          <w:color w:val="000000"/>
        </w:rPr>
      </w:pPr>
      <w:r>
        <w:rPr>
          <w:rFonts w:hint="eastAsia" w:ascii="Times New Roman" w:hAnsi="Times New Roman"/>
          <w:color w:val="000000"/>
        </w:rPr>
        <w:t>本细则未明确的监督抽查抽样检验相关技术规范，均按照《产品质量监督抽查管理暂行办法》（国家市场监督管理总局令第</w:t>
      </w:r>
      <w:r>
        <w:rPr>
          <w:rFonts w:ascii="Times New Roman" w:hAnsi="Times New Roman"/>
          <w:color w:val="000000"/>
        </w:rPr>
        <w:t>18</w:t>
      </w:r>
      <w:r>
        <w:rPr>
          <w:rFonts w:hint="eastAsia" w:ascii="Times New Roman" w:hAnsi="Times New Roman"/>
          <w:color w:val="000000"/>
        </w:rPr>
        <w:t>号）、《产品质量监督抽查抽样检验技术服务规范》（</w:t>
      </w:r>
      <w:r>
        <w:rPr>
          <w:rFonts w:ascii="Times New Roman" w:hAnsi="Times New Roman"/>
          <w:color w:val="000000"/>
        </w:rPr>
        <w:t>T/GDAQI 020-2020</w:t>
      </w:r>
      <w:r>
        <w:rPr>
          <w:rFonts w:hint="eastAsia" w:ascii="Times New Roman" w:hAnsi="Times New Roman"/>
          <w:color w:val="000000"/>
        </w:rPr>
        <w:t>）规定执行。</w:t>
      </w:r>
    </w:p>
    <w:p>
      <w:pPr>
        <w:adjustRightInd w:val="0"/>
        <w:snapToGrid w:val="0"/>
        <w:spacing w:line="520" w:lineRule="exact"/>
        <w:ind w:firstLine="420" w:firstLineChars="200"/>
        <w:rPr>
          <w:rFonts w:ascii="Times New Roman" w:hAnsi="Times New Roman"/>
          <w:color w:val="000000"/>
        </w:rPr>
      </w:pPr>
      <w:r>
        <w:rPr>
          <w:rFonts w:hint="eastAsia" w:ascii="Times New Roman" w:hAnsi="Times New Roman"/>
          <w:color w:val="000000"/>
        </w:rPr>
        <w:t>如抽到的产品未标注有效执行标准、无法获得有效的标准文本、或采用的标准文本无本细则规定的检测项目，则按</w:t>
      </w:r>
      <w:r>
        <w:rPr>
          <w:rFonts w:ascii="Times New Roman" w:hAnsi="Times New Roman"/>
          <w:color w:val="000000"/>
        </w:rPr>
        <w:t xml:space="preserve">GB </w:t>
      </w:r>
      <w:r>
        <w:rPr>
          <w:rFonts w:hint="eastAsia" w:ascii="Times New Roman" w:hAnsi="Times New Roman"/>
          <w:color w:val="000000"/>
        </w:rPr>
        <w:t>4806.7</w:t>
      </w:r>
      <w:r>
        <w:rPr>
          <w:rFonts w:ascii="Times New Roman" w:hAnsi="Times New Roman"/>
          <w:color w:val="000000"/>
        </w:rPr>
        <w:t>-2016</w:t>
      </w:r>
      <w:r>
        <w:rPr>
          <w:rFonts w:hint="eastAsia" w:ascii="Times New Roman" w:hAnsi="Times New Roman"/>
          <w:color w:val="000000"/>
        </w:rPr>
        <w:t>进行检测。</w:t>
      </w:r>
    </w:p>
    <w:p>
      <w:pPr>
        <w:adjustRightInd w:val="0"/>
        <w:snapToGrid w:val="0"/>
        <w:spacing w:line="520" w:lineRule="exact"/>
        <w:ind w:firstLine="420" w:firstLineChars="200"/>
        <w:rPr>
          <w:rFonts w:ascii="Times New Roman" w:hAnsi="Times New Roman"/>
          <w:color w:val="000000"/>
        </w:rPr>
      </w:pPr>
    </w:p>
    <w:p>
      <w:pPr>
        <w:snapToGrid w:val="0"/>
        <w:spacing w:line="440" w:lineRule="exact"/>
        <w:rPr>
          <w:rFonts w:ascii="黑体" w:hAnsi="宋体" w:eastAsia="黑体"/>
          <w:color w:val="000000"/>
          <w:szCs w:val="21"/>
        </w:rPr>
      </w:pPr>
      <w:r>
        <w:rPr>
          <w:rFonts w:ascii="黑体" w:hAnsi="宋体" w:eastAsia="黑体"/>
          <w:color w:val="000000"/>
          <w:szCs w:val="21"/>
        </w:rPr>
        <w:t>8</w:t>
      </w:r>
      <w:r>
        <w:rPr>
          <w:rFonts w:hint="eastAsia" w:ascii="黑体" w:hAnsi="宋体" w:eastAsia="黑体"/>
          <w:color w:val="000000"/>
          <w:szCs w:val="21"/>
        </w:rPr>
        <w:t>异议处理复检</w:t>
      </w:r>
    </w:p>
    <w:p>
      <w:pPr>
        <w:adjustRightInd w:val="0"/>
        <w:snapToGrid w:val="0"/>
        <w:spacing w:line="520" w:lineRule="exact"/>
        <w:ind w:firstLine="420" w:firstLineChars="200"/>
        <w:rPr>
          <w:rFonts w:hint="eastAsia" w:ascii="Times New Roman" w:hAnsi="Times New Roman"/>
          <w:color w:val="000000"/>
        </w:rPr>
      </w:pPr>
      <w:r>
        <w:rPr>
          <w:rFonts w:hint="eastAsia" w:ascii="Times New Roman" w:hAnsi="Times New Roman"/>
          <w:color w:val="000000"/>
        </w:rPr>
        <w:t>被抽样生产者对检验结论有异议的，应提出书面复检申请并阐明理由，向潮州市潮安区市场监督管理局提出，由潮州市潮安区市场监督管理局依法依规处理。</w:t>
      </w:r>
    </w:p>
    <w:p>
      <w:pPr>
        <w:snapToGrid w:val="0"/>
        <w:spacing w:line="440" w:lineRule="exact"/>
        <w:ind w:firstLine="420" w:firstLineChars="200"/>
        <w:rPr>
          <w:rFonts w:hint="eastAsia" w:ascii="宋体" w:hAnsi="宋体"/>
          <w:iCs/>
          <w:color w:val="000000"/>
          <w:szCs w:val="21"/>
        </w:rPr>
      </w:pPr>
      <w:r>
        <w:rPr>
          <w:rFonts w:hint="eastAsia" w:ascii="宋体" w:hAnsi="宋体"/>
          <w:iCs/>
          <w:color w:val="000000"/>
          <w:szCs w:val="21"/>
        </w:rPr>
        <w:t>对判定不合格产品进行复检时，按以下方式进行：</w:t>
      </w:r>
    </w:p>
    <w:p>
      <w:pPr>
        <w:snapToGrid w:val="0"/>
        <w:spacing w:line="440" w:lineRule="exact"/>
        <w:ind w:firstLine="420" w:firstLineChars="200"/>
        <w:rPr>
          <w:rFonts w:hint="eastAsia" w:ascii="宋体" w:hAnsi="宋体"/>
          <w:color w:val="000000"/>
          <w:szCs w:val="21"/>
        </w:rPr>
      </w:pPr>
      <w:r>
        <w:rPr>
          <w:rFonts w:ascii="宋体" w:hAnsi="宋体"/>
          <w:color w:val="000000"/>
          <w:szCs w:val="21"/>
        </w:rPr>
        <w:t>8</w:t>
      </w:r>
      <w:r>
        <w:rPr>
          <w:rFonts w:hint="eastAsia" w:ascii="宋体" w:hAnsi="宋体"/>
          <w:color w:val="000000"/>
          <w:szCs w:val="21"/>
        </w:rPr>
        <w:t>.1核查不合格项目相关证据，能够以记录（纸质记录或电子记录或影像记录）或与不合格项目相关联的其它质量数据等检验证据证明。</w:t>
      </w:r>
    </w:p>
    <w:p>
      <w:pPr>
        <w:snapToGrid w:val="0"/>
        <w:spacing w:line="440" w:lineRule="exact"/>
        <w:ind w:firstLine="420" w:firstLineChars="200"/>
        <w:rPr>
          <w:rFonts w:hint="eastAsia" w:ascii="宋体" w:hAnsi="宋体"/>
          <w:color w:val="000000"/>
          <w:szCs w:val="21"/>
        </w:rPr>
      </w:pPr>
      <w:r>
        <w:rPr>
          <w:rFonts w:ascii="宋体" w:hAnsi="宋体"/>
          <w:color w:val="000000"/>
          <w:szCs w:val="21"/>
        </w:rPr>
        <w:t>8</w:t>
      </w:r>
      <w:r>
        <w:rPr>
          <w:rFonts w:hint="eastAsia" w:ascii="宋体" w:hAnsi="宋体"/>
          <w:color w:val="000000"/>
          <w:szCs w:val="21"/>
        </w:rPr>
        <w:t>.2需对不合格项目进行复检时，可以在原样上检验的在原样上复检，不可以在原样上检验的采用备用样复检。当复检结果仍不合格，维持原检验结果不变。当复检结果合格，以复检结果为准。</w:t>
      </w:r>
    </w:p>
    <w:p>
      <w:pPr>
        <w:snapToGrid w:val="0"/>
        <w:spacing w:line="440" w:lineRule="exact"/>
        <w:ind w:firstLine="420" w:firstLineChars="200"/>
        <w:rPr>
          <w:rFonts w:hint="eastAsia"/>
          <w:color w:val="000000"/>
        </w:rPr>
      </w:pPr>
      <w:r>
        <w:rPr>
          <w:rFonts w:ascii="宋体" w:hAnsi="宋体"/>
          <w:color w:val="000000"/>
          <w:szCs w:val="21"/>
        </w:rPr>
        <w:t>8</w:t>
      </w:r>
      <w:r>
        <w:rPr>
          <w:rFonts w:hint="eastAsia" w:ascii="宋体" w:hAnsi="宋体"/>
          <w:color w:val="000000"/>
          <w:szCs w:val="21"/>
        </w:rPr>
        <w:t>.3</w:t>
      </w:r>
      <w:r>
        <w:rPr>
          <w:rFonts w:hint="eastAsia"/>
          <w:color w:val="000000"/>
        </w:rPr>
        <w:t>微生物项目不合格不进行复检。</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344A"/>
    <w:rsid w:val="00062D14"/>
    <w:rsid w:val="000C08CD"/>
    <w:rsid w:val="00111855"/>
    <w:rsid w:val="00131F44"/>
    <w:rsid w:val="0016591F"/>
    <w:rsid w:val="0017069A"/>
    <w:rsid w:val="00173E9B"/>
    <w:rsid w:val="001C6397"/>
    <w:rsid w:val="001F7D83"/>
    <w:rsid w:val="002248B4"/>
    <w:rsid w:val="002259D2"/>
    <w:rsid w:val="00295CF8"/>
    <w:rsid w:val="002B11C9"/>
    <w:rsid w:val="002B2EF7"/>
    <w:rsid w:val="002B5320"/>
    <w:rsid w:val="002F7778"/>
    <w:rsid w:val="00383259"/>
    <w:rsid w:val="003968C2"/>
    <w:rsid w:val="003C5A9E"/>
    <w:rsid w:val="003D52F8"/>
    <w:rsid w:val="003D7ABD"/>
    <w:rsid w:val="003F5AF5"/>
    <w:rsid w:val="00450CC2"/>
    <w:rsid w:val="00452989"/>
    <w:rsid w:val="00452B69"/>
    <w:rsid w:val="004B2208"/>
    <w:rsid w:val="004B6B02"/>
    <w:rsid w:val="004D5142"/>
    <w:rsid w:val="004F07B5"/>
    <w:rsid w:val="00506AA2"/>
    <w:rsid w:val="00525CB9"/>
    <w:rsid w:val="00556226"/>
    <w:rsid w:val="0057127F"/>
    <w:rsid w:val="00591012"/>
    <w:rsid w:val="005E0F46"/>
    <w:rsid w:val="00602D28"/>
    <w:rsid w:val="00617528"/>
    <w:rsid w:val="00620B72"/>
    <w:rsid w:val="00665C57"/>
    <w:rsid w:val="006666C2"/>
    <w:rsid w:val="006A3331"/>
    <w:rsid w:val="006B7378"/>
    <w:rsid w:val="006E1632"/>
    <w:rsid w:val="00710D6A"/>
    <w:rsid w:val="0071246D"/>
    <w:rsid w:val="00740401"/>
    <w:rsid w:val="00790E3B"/>
    <w:rsid w:val="00794FC4"/>
    <w:rsid w:val="007D7DD5"/>
    <w:rsid w:val="00821E11"/>
    <w:rsid w:val="008B6ADC"/>
    <w:rsid w:val="008C0EE0"/>
    <w:rsid w:val="008D6D1B"/>
    <w:rsid w:val="00903EFB"/>
    <w:rsid w:val="00920710"/>
    <w:rsid w:val="00930819"/>
    <w:rsid w:val="009408A0"/>
    <w:rsid w:val="009902C3"/>
    <w:rsid w:val="00991DE3"/>
    <w:rsid w:val="009E6B89"/>
    <w:rsid w:val="00A33AF5"/>
    <w:rsid w:val="00A43A4B"/>
    <w:rsid w:val="00A644EC"/>
    <w:rsid w:val="00A87423"/>
    <w:rsid w:val="00AE185E"/>
    <w:rsid w:val="00AE5202"/>
    <w:rsid w:val="00B0414D"/>
    <w:rsid w:val="00B43CCA"/>
    <w:rsid w:val="00B57624"/>
    <w:rsid w:val="00B614E1"/>
    <w:rsid w:val="00B629C7"/>
    <w:rsid w:val="00B82FEF"/>
    <w:rsid w:val="00BD339E"/>
    <w:rsid w:val="00BE344A"/>
    <w:rsid w:val="00BE3C9C"/>
    <w:rsid w:val="00BE72E2"/>
    <w:rsid w:val="00C05C99"/>
    <w:rsid w:val="00C14AC7"/>
    <w:rsid w:val="00C54CF5"/>
    <w:rsid w:val="00C732EE"/>
    <w:rsid w:val="00CF5E53"/>
    <w:rsid w:val="00D30F5B"/>
    <w:rsid w:val="00D42495"/>
    <w:rsid w:val="00DC5C32"/>
    <w:rsid w:val="00DE586C"/>
    <w:rsid w:val="00E02AC8"/>
    <w:rsid w:val="00E17AF0"/>
    <w:rsid w:val="00E24D30"/>
    <w:rsid w:val="00E30FAD"/>
    <w:rsid w:val="00E51602"/>
    <w:rsid w:val="00E61516"/>
    <w:rsid w:val="00E75E40"/>
    <w:rsid w:val="00E9382A"/>
    <w:rsid w:val="00EA1808"/>
    <w:rsid w:val="00EA48F0"/>
    <w:rsid w:val="00EB0FEA"/>
    <w:rsid w:val="00EB5A7B"/>
    <w:rsid w:val="00F15C76"/>
    <w:rsid w:val="00F54877"/>
    <w:rsid w:val="00F73A31"/>
    <w:rsid w:val="00F75E61"/>
    <w:rsid w:val="00F848E7"/>
    <w:rsid w:val="00FB7329"/>
    <w:rsid w:val="00FE34DE"/>
    <w:rsid w:val="00FE4415"/>
    <w:rsid w:val="00FF5909"/>
    <w:rsid w:val="1FD210A6"/>
    <w:rsid w:val="401613BF"/>
    <w:rsid w:val="414A7E09"/>
    <w:rsid w:val="44D74DC5"/>
    <w:rsid w:val="50D735BA"/>
    <w:rsid w:val="5CE770A8"/>
    <w:rsid w:val="5DBC79C4"/>
    <w:rsid w:val="7F44017E"/>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Plain Text"/>
    <w:basedOn w:val="1"/>
    <w:link w:val="9"/>
    <w:qFormat/>
    <w:uiPriority w:val="0"/>
    <w:rPr>
      <w:rFonts w:ascii="宋体" w:hAnsi="Courier New" w:cs="Courier New"/>
      <w:szCs w:val="21"/>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locked/>
    <w:uiPriority w:val="99"/>
    <w:rPr>
      <w:rFonts w:cs="Times New Roman"/>
      <w:sz w:val="18"/>
      <w:szCs w:val="18"/>
    </w:rPr>
  </w:style>
  <w:style w:type="character" w:customStyle="1" w:styleId="8">
    <w:name w:val="页脚 Char"/>
    <w:basedOn w:val="5"/>
    <w:link w:val="3"/>
    <w:semiHidden/>
    <w:qFormat/>
    <w:locked/>
    <w:uiPriority w:val="99"/>
    <w:rPr>
      <w:rFonts w:cs="Times New Roman"/>
      <w:sz w:val="18"/>
      <w:szCs w:val="18"/>
    </w:rPr>
  </w:style>
  <w:style w:type="character" w:customStyle="1" w:styleId="9">
    <w:name w:val="纯文本 Char"/>
    <w:basedOn w:val="5"/>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541</Words>
  <Characters>3086</Characters>
  <Lines>25</Lines>
  <Paragraphs>7</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2018-10-22T08:16:00Z</dcterms:created>
  <dc:creator>Administrator</dc:creator>
  <cp:lastModifiedBy>蔡林生</cp:lastModifiedBy>
  <cp:lastPrinted>2019-11-15T03:46:00Z</cp:lastPrinted>
  <dcterms:modified xsi:type="dcterms:W3CDTF">2020-07-02T08:04:59Z</dcterms:modified>
  <dc:title>2017年潮安区食品包装膜、袋产品质量定期监督检验实施细则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