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42" w:firstLineChars="100"/>
        <w:rPr>
          <w:b/>
          <w:bCs/>
          <w:color w:val="000000"/>
          <w:sz w:val="44"/>
          <w:szCs w:val="44"/>
        </w:rPr>
      </w:pPr>
      <w:r>
        <w:rPr>
          <w:rFonts w:hint="eastAsia"/>
          <w:b/>
          <w:bCs/>
          <w:color w:val="000000"/>
          <w:sz w:val="44"/>
          <w:szCs w:val="44"/>
        </w:rPr>
        <w:t>潮安县赤凤镇总体规划（2011-2020年）</w:t>
      </w:r>
    </w:p>
    <w:p>
      <w:pPr>
        <w:pStyle w:val="3"/>
        <w:ind w:firstLine="2650" w:firstLineChars="600"/>
        <w:rPr>
          <w:b/>
          <w:bCs/>
          <w:color w:val="000000"/>
          <w:sz w:val="44"/>
          <w:szCs w:val="44"/>
        </w:rPr>
      </w:pPr>
      <w:r>
        <w:rPr>
          <w:rFonts w:hint="eastAsia"/>
          <w:b/>
          <w:bCs/>
          <w:color w:val="000000"/>
          <w:sz w:val="44"/>
          <w:szCs w:val="44"/>
        </w:rPr>
        <w:t>局部调整方案</w:t>
      </w:r>
      <w:bookmarkStart w:id="0" w:name="_GoBack"/>
      <w:bookmarkEnd w:id="0"/>
    </w:p>
    <w:p>
      <w:pPr>
        <w:pStyle w:val="8"/>
        <w:numPr>
          <w:ilvl w:val="0"/>
          <w:numId w:val="1"/>
        </w:numPr>
        <w:ind w:firstLineChars="0"/>
        <w:rPr>
          <w:b/>
          <w:bCs/>
          <w:color w:val="000000"/>
          <w:sz w:val="32"/>
          <w:szCs w:val="32"/>
        </w:rPr>
      </w:pPr>
      <w:r>
        <w:rPr>
          <w:rFonts w:hint="eastAsia"/>
          <w:b/>
          <w:bCs/>
          <w:color w:val="000000"/>
          <w:sz w:val="32"/>
          <w:szCs w:val="32"/>
        </w:rPr>
        <w:t>规划调整完善背景和原因</w:t>
      </w:r>
    </w:p>
    <w:p>
      <w:pPr>
        <w:spacing w:line="600" w:lineRule="exact"/>
        <w:ind w:firstLine="560" w:firstLineChars="200"/>
        <w:textAlignment w:val="baseline"/>
        <w:rPr>
          <w:rFonts w:ascii="宋体" w:hAnsi="宋体"/>
          <w:sz w:val="28"/>
          <w:szCs w:val="28"/>
        </w:rPr>
      </w:pPr>
      <w:r>
        <w:rPr>
          <w:rFonts w:hint="eastAsia" w:ascii="宋体" w:hAnsi="宋体"/>
          <w:sz w:val="28"/>
          <w:szCs w:val="28"/>
        </w:rPr>
        <w:t>近年来，随着乡村振兴战略的推动和脱贫攻坚工作的不断深入以及广东实施振兴东西北发展战略、汕潮揭加快同城化步伐等一系列战略部署、重大建设工程项目及社会变革等，对赤凤镇的经济社会发展及《现行规划》的实施带来较大的影响，具体体现在：</w:t>
      </w:r>
    </w:p>
    <w:p>
      <w:pPr>
        <w:spacing w:line="600" w:lineRule="exact"/>
        <w:ind w:firstLine="562" w:firstLineChars="200"/>
        <w:textAlignment w:val="baseline"/>
        <w:rPr>
          <w:rFonts w:ascii="宋体" w:hAnsi="宋体"/>
          <w:b/>
          <w:sz w:val="28"/>
          <w:szCs w:val="28"/>
        </w:rPr>
      </w:pPr>
      <w:r>
        <w:rPr>
          <w:rFonts w:hint="eastAsia" w:ascii="宋体" w:hAnsi="宋体"/>
          <w:b/>
          <w:sz w:val="28"/>
          <w:szCs w:val="28"/>
        </w:rPr>
        <w:t>1.实施乡村振兴战略，打好精准脱贫攻坚战</w:t>
      </w:r>
    </w:p>
    <w:p>
      <w:pPr>
        <w:spacing w:line="600" w:lineRule="exact"/>
        <w:ind w:firstLine="560" w:firstLineChars="200"/>
        <w:textAlignment w:val="baseline"/>
        <w:rPr>
          <w:rFonts w:ascii="宋体" w:hAnsi="宋体"/>
          <w:sz w:val="28"/>
          <w:szCs w:val="28"/>
        </w:rPr>
      </w:pPr>
      <w:r>
        <w:rPr>
          <w:rFonts w:hint="eastAsia" w:ascii="宋体" w:hAnsi="宋体"/>
          <w:sz w:val="28"/>
          <w:szCs w:val="28"/>
        </w:rPr>
        <w:t>中共十九大报告中指出，要实施乡村振兴战略，不断促进农村一二三产业融合发展。实施乡村振兴战略要不断统筹推进农村经济建设、政治建设、文化建设、社会建设、生态文明建设和党的建设，加快推进乡村治理体系和治理能力现代化，加快推进农业农村现代化，走中国特色社会主义乡村振兴道路；要重塑城乡关系，走城乡融合发展之路；坚持人与自然和谐共生，走乡村绿色发展之路；打好精准脱贫攻坚战，走中国特色减贫之路。推动赤凤镇生态经济和现代农业的发展，符合乡村战略和脱贫攻坚的要求。</w:t>
      </w:r>
    </w:p>
    <w:p>
      <w:pPr>
        <w:spacing w:line="600" w:lineRule="exact"/>
        <w:ind w:firstLine="562" w:firstLineChars="200"/>
        <w:textAlignment w:val="baseline"/>
        <w:rPr>
          <w:rFonts w:ascii="宋体" w:hAnsi="宋体"/>
          <w:b/>
          <w:sz w:val="28"/>
          <w:szCs w:val="28"/>
        </w:rPr>
      </w:pPr>
      <w:r>
        <w:rPr>
          <w:rFonts w:hint="eastAsia" w:ascii="宋体" w:hAnsi="宋体"/>
          <w:b/>
          <w:sz w:val="28"/>
          <w:szCs w:val="28"/>
        </w:rPr>
        <w:t>2.加快镇域经济发展，打造特色森林小镇</w:t>
      </w:r>
    </w:p>
    <w:p>
      <w:pPr>
        <w:spacing w:line="600" w:lineRule="exact"/>
        <w:ind w:firstLine="560" w:firstLineChars="200"/>
        <w:textAlignment w:val="baseline"/>
        <w:rPr>
          <w:rFonts w:ascii="宋体" w:hAnsi="宋体"/>
          <w:sz w:val="28"/>
          <w:szCs w:val="28"/>
        </w:rPr>
      </w:pPr>
      <w:r>
        <w:rPr>
          <w:rFonts w:hint="eastAsia" w:ascii="宋体" w:hAnsi="宋体"/>
          <w:sz w:val="28"/>
          <w:szCs w:val="28"/>
        </w:rPr>
        <w:t>加快镇域经济发展是统筹城乡发展、搞好新农村建设的必由之路。加快镇域经济发展，应不断推进城乡一体化建设，形成以城带乡、以乡促城、城乡互动的城乡发展新格局，努力构建更平衡协调的城乡发展格局。全面推动镇域经济的发展壮大，打造特色城镇，坚持产业兴镇、特色强镇，充分发挥镇街资源优势，打造“一镇一业”，建立各具特色的新型城镇发展格局。赤凤镇应抓住自身生态环境优越的自然优势，充分打造特色森林小镇，大力发展绿色生态经济，促进镇域经济发展。</w:t>
      </w:r>
    </w:p>
    <w:p>
      <w:pPr>
        <w:spacing w:line="600" w:lineRule="exact"/>
        <w:ind w:firstLine="562" w:firstLineChars="200"/>
        <w:textAlignment w:val="baseline"/>
        <w:rPr>
          <w:rFonts w:ascii="宋体" w:hAnsi="宋体"/>
          <w:b/>
          <w:sz w:val="28"/>
          <w:szCs w:val="28"/>
        </w:rPr>
      </w:pPr>
      <w:r>
        <w:rPr>
          <w:rFonts w:hint="eastAsia" w:ascii="宋体" w:hAnsi="宋体"/>
          <w:b/>
          <w:sz w:val="28"/>
          <w:szCs w:val="28"/>
        </w:rPr>
        <w:t>3.省振兴粤东西北地区经济发展战略对潮安区赤凤镇的带动</w:t>
      </w:r>
    </w:p>
    <w:p>
      <w:pPr>
        <w:spacing w:line="600" w:lineRule="exact"/>
        <w:ind w:firstLine="560" w:firstLineChars="200"/>
        <w:textAlignment w:val="baseline"/>
        <w:rPr>
          <w:rFonts w:ascii="宋体" w:hAnsi="宋体"/>
          <w:sz w:val="28"/>
          <w:szCs w:val="28"/>
        </w:rPr>
      </w:pPr>
      <w:r>
        <w:rPr>
          <w:rFonts w:hint="eastAsia" w:ascii="宋体" w:hAnsi="宋体"/>
          <w:sz w:val="28"/>
          <w:szCs w:val="28"/>
        </w:rPr>
        <w:t>为改变广东省地区经济发展极不平衡状态，省委、省政府出台了《关于进一步促进粤东西北地区振兴经济发展的决定》（简称《决定》），吹响了粤东西北地区振兴经济发展的号角；《决定》提出：未来五年，广东省财政将统筹安排6720亿资金，帮助粤东西北地区的基础设施、产业、公共服务、农业等方面“升级”，并加大力度落实税收扶持、金融政策、生态补偿、人才引进等机制，振兴粤东西北，打造广东另一个“经济发动机”，实现广东的九年大跨越；同时提出粤东加快建设汕潮揭城市群，实现资源共享、一体化发展。乘着两个“东风”，潮州建设成为广东特色经济示范区、重要临港产业基地、粤东特色旅游目的地、有重要影响力的历史文化名城将更加主动，对潮安区赤凤镇的发展必将带来深远影响。</w:t>
      </w:r>
    </w:p>
    <w:p>
      <w:pPr>
        <w:spacing w:line="600" w:lineRule="exact"/>
        <w:ind w:firstLine="562" w:firstLineChars="200"/>
        <w:textAlignment w:val="baseline"/>
        <w:rPr>
          <w:rFonts w:ascii="宋体" w:hAnsi="宋体"/>
          <w:b/>
          <w:sz w:val="28"/>
          <w:szCs w:val="28"/>
        </w:rPr>
      </w:pPr>
      <w:r>
        <w:rPr>
          <w:rFonts w:hint="eastAsia" w:ascii="宋体" w:hAnsi="宋体"/>
          <w:b/>
          <w:sz w:val="28"/>
          <w:szCs w:val="28"/>
        </w:rPr>
        <w:t>4.汕潮揭同城化促进潮安区赤凤镇社会经济的发展</w:t>
      </w:r>
    </w:p>
    <w:p>
      <w:pPr>
        <w:spacing w:line="600" w:lineRule="exact"/>
        <w:ind w:firstLine="560" w:firstLineChars="200"/>
        <w:textAlignment w:val="baseline"/>
        <w:rPr>
          <w:rFonts w:ascii="宋体" w:hAnsi="宋体"/>
          <w:sz w:val="28"/>
          <w:szCs w:val="28"/>
        </w:rPr>
      </w:pPr>
      <w:r>
        <w:rPr>
          <w:rFonts w:hint="eastAsia" w:ascii="宋体" w:hAnsi="宋体"/>
          <w:sz w:val="28"/>
          <w:szCs w:val="28"/>
        </w:rPr>
        <w:t>汕潮揭同城化是广东省委省政府的中心工作之一，也是区域经济一体化发展的重要引擎之一。汕头、潮州、揭阳三市地域相连，规划建立汕潮揭半小时生活圈和一小时经济圈，实现通信资费同城化，联合打造上中下游产业联系紧密、相互配套、竞争力强的产业体系，共同打造布局合理、功能完善、联系紧密的城市群，推动区域产业和交通一体化的发展。通过加强与周边地区的合作，潮安区将从粤东边陲向粤闽通道转变，成为粤闽经济合作前沿和我国沿海经济发达地带节点，为潮安区赤凤镇注入新的发展动力。</w:t>
      </w:r>
    </w:p>
    <w:p>
      <w:pPr>
        <w:spacing w:line="600" w:lineRule="exact"/>
        <w:ind w:firstLine="560" w:firstLineChars="200"/>
        <w:textAlignment w:val="baseline"/>
        <w:rPr>
          <w:rFonts w:ascii="宋体" w:hAnsi="宋体"/>
          <w:sz w:val="28"/>
          <w:szCs w:val="28"/>
        </w:rPr>
      </w:pPr>
      <w:r>
        <w:rPr>
          <w:rFonts w:hint="eastAsia" w:ascii="宋体" w:hAnsi="宋体"/>
          <w:sz w:val="28"/>
          <w:szCs w:val="28"/>
        </w:rPr>
        <w:t>赤凤镇山清水秀，峰高谷深，环境优美，气候和土壤条件非常适宜果、茶、林生产，境内有龙潭瀑布、葵山白云寺、白莲顺德居古迹等景点，旅游资源丰富多样，发展旅游潜力巨大。因此赤凤镇应抓住这一区域特殊政策带来的机遇，大力发展文化教育、医疗卫生、环境整治、社会保障等民生事业和民心工程，充分发掘整合各种旅游资源，实现政策优势到经济社会发展优势的转变，打造创造宜业宜居宜游的新城镇。</w:t>
      </w:r>
    </w:p>
    <w:p>
      <w:pPr>
        <w:spacing w:line="600" w:lineRule="exact"/>
        <w:ind w:firstLine="560" w:firstLineChars="200"/>
        <w:textAlignment w:val="baseline"/>
        <w:rPr>
          <w:rFonts w:hAnsi="宋体"/>
          <w:sz w:val="28"/>
          <w:szCs w:val="28"/>
        </w:rPr>
      </w:pPr>
      <w:r>
        <w:rPr>
          <w:rFonts w:hint="eastAsia" w:ascii="宋体" w:hAnsi="宋体"/>
          <w:sz w:val="28"/>
          <w:szCs w:val="28"/>
        </w:rPr>
        <w:t>在上述的区域发展背景和形势下，调整《现行规划》的工作已提上赤凤镇的议事日程。。</w:t>
      </w:r>
    </w:p>
    <w:p>
      <w:pPr>
        <w:pStyle w:val="8"/>
        <w:numPr>
          <w:ilvl w:val="0"/>
          <w:numId w:val="1"/>
        </w:numPr>
        <w:ind w:firstLineChars="0"/>
        <w:rPr>
          <w:b/>
          <w:bCs/>
          <w:color w:val="000000"/>
          <w:sz w:val="32"/>
          <w:szCs w:val="32"/>
        </w:rPr>
      </w:pPr>
      <w:r>
        <w:rPr>
          <w:rFonts w:hint="eastAsia"/>
          <w:b/>
          <w:bCs/>
          <w:color w:val="000000"/>
          <w:sz w:val="32"/>
          <w:szCs w:val="32"/>
        </w:rPr>
        <w:t>规划调整程序</w:t>
      </w:r>
    </w:p>
    <w:p>
      <w:pPr>
        <w:spacing w:line="600" w:lineRule="exact"/>
        <w:ind w:firstLine="560" w:firstLineChars="200"/>
        <w:textAlignment w:val="baseline"/>
        <w:rPr>
          <w:rFonts w:ascii="宋体" w:hAnsi="宋体"/>
          <w:sz w:val="28"/>
          <w:szCs w:val="28"/>
        </w:rPr>
      </w:pPr>
      <w:r>
        <w:rPr>
          <w:rFonts w:hint="eastAsia" w:ascii="宋体" w:hAnsi="宋体"/>
          <w:sz w:val="28"/>
          <w:szCs w:val="28"/>
        </w:rPr>
        <w:t>根据《中华人民共和国城乡规划法》（2019 年修正）第四十七条：</w:t>
      </w:r>
    </w:p>
    <w:p>
      <w:pPr>
        <w:spacing w:line="600" w:lineRule="exact"/>
        <w:textAlignment w:val="baseline"/>
        <w:rPr>
          <w:rFonts w:ascii="宋体" w:hAnsi="宋体"/>
          <w:sz w:val="28"/>
          <w:szCs w:val="28"/>
        </w:rPr>
      </w:pPr>
      <w:r>
        <w:rPr>
          <w:rFonts w:hint="eastAsia" w:ascii="宋体" w:hAnsi="宋体"/>
          <w:sz w:val="28"/>
          <w:szCs w:val="28"/>
        </w:rPr>
        <w:t>“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 。</w:t>
      </w:r>
    </w:p>
    <w:p>
      <w:pPr>
        <w:spacing w:line="600" w:lineRule="exact"/>
        <w:ind w:firstLine="560" w:firstLineChars="200"/>
        <w:textAlignment w:val="baseline"/>
        <w:rPr>
          <w:rFonts w:ascii="宋体" w:hAnsi="宋体"/>
          <w:sz w:val="28"/>
          <w:szCs w:val="28"/>
        </w:rPr>
      </w:pPr>
      <w:r>
        <w:rPr>
          <w:rFonts w:hint="eastAsia" w:ascii="宋体" w:hAnsi="宋体"/>
          <w:sz w:val="28"/>
          <w:szCs w:val="28"/>
        </w:rPr>
        <w:t>2020年</w:t>
      </w:r>
      <w:r>
        <w:rPr>
          <w:rFonts w:ascii="宋体" w:hAnsi="宋体"/>
          <w:sz w:val="28"/>
          <w:szCs w:val="28"/>
        </w:rPr>
        <w:t>7</w:t>
      </w:r>
      <w:r>
        <w:rPr>
          <w:rFonts w:hint="eastAsia" w:ascii="宋体" w:hAnsi="宋体"/>
          <w:sz w:val="28"/>
          <w:szCs w:val="28"/>
        </w:rPr>
        <w:t>月，赤凤镇人民政府对现行规划的实施情况进行总结，并向潮安区人民政府报告，要求开展《潮安县赤凤镇总体规划（20</w:t>
      </w:r>
      <w:r>
        <w:rPr>
          <w:rFonts w:ascii="宋体" w:hAnsi="宋体"/>
          <w:sz w:val="28"/>
          <w:szCs w:val="28"/>
        </w:rPr>
        <w:t>11</w:t>
      </w:r>
      <w:r>
        <w:rPr>
          <w:rFonts w:hint="eastAsia" w:ascii="宋体" w:hAnsi="宋体"/>
          <w:sz w:val="28"/>
          <w:szCs w:val="28"/>
        </w:rPr>
        <w:t>-2020）》局部调整工作。2020年</w:t>
      </w:r>
      <w:r>
        <w:rPr>
          <w:rFonts w:ascii="宋体" w:hAnsi="宋体"/>
          <w:sz w:val="28"/>
          <w:szCs w:val="28"/>
        </w:rPr>
        <w:t>7</w:t>
      </w:r>
      <w:r>
        <w:rPr>
          <w:rFonts w:hint="eastAsia" w:ascii="宋体" w:hAnsi="宋体"/>
          <w:sz w:val="28"/>
          <w:szCs w:val="28"/>
        </w:rPr>
        <w:t>月</w:t>
      </w:r>
      <w:r>
        <w:rPr>
          <w:rFonts w:ascii="宋体" w:hAnsi="宋体"/>
          <w:sz w:val="28"/>
          <w:szCs w:val="28"/>
        </w:rPr>
        <w:t>24</w:t>
      </w:r>
      <w:r>
        <w:rPr>
          <w:rFonts w:hint="eastAsia" w:ascii="宋体" w:hAnsi="宋体"/>
          <w:sz w:val="28"/>
          <w:szCs w:val="28"/>
        </w:rPr>
        <w:t>日，根据潮州市潮安区人民政府复函《关于调整修编&lt;潮安县赤凤镇总体规划（20</w:t>
      </w:r>
      <w:r>
        <w:rPr>
          <w:rFonts w:ascii="宋体" w:hAnsi="宋体"/>
          <w:sz w:val="28"/>
          <w:szCs w:val="28"/>
        </w:rPr>
        <w:t>11</w:t>
      </w:r>
      <w:r>
        <w:rPr>
          <w:rFonts w:hint="eastAsia" w:ascii="宋体" w:hAnsi="宋体"/>
          <w:sz w:val="28"/>
          <w:szCs w:val="28"/>
        </w:rPr>
        <w:t>-2020）&gt;有关问题的复函》（安府办函[2020]</w:t>
      </w:r>
      <w:r>
        <w:rPr>
          <w:rFonts w:ascii="宋体" w:hAnsi="宋体"/>
          <w:sz w:val="28"/>
          <w:szCs w:val="28"/>
        </w:rPr>
        <w:t>389</w:t>
      </w:r>
      <w:r>
        <w:rPr>
          <w:rFonts w:hint="eastAsia" w:ascii="宋体" w:hAnsi="宋体"/>
          <w:sz w:val="28"/>
          <w:szCs w:val="28"/>
        </w:rPr>
        <w:t>号），潮安区人民政府同意对《潮安县赤凤镇总体规划（201</w:t>
      </w:r>
      <w:r>
        <w:rPr>
          <w:rFonts w:ascii="宋体" w:hAnsi="宋体"/>
          <w:sz w:val="28"/>
          <w:szCs w:val="28"/>
        </w:rPr>
        <w:t>1</w:t>
      </w:r>
      <w:r>
        <w:rPr>
          <w:rFonts w:hint="eastAsia" w:ascii="宋体" w:hAnsi="宋体"/>
          <w:sz w:val="28"/>
          <w:szCs w:val="28"/>
        </w:rPr>
        <w:t>-2020）》进行局部调整修编。</w:t>
      </w:r>
    </w:p>
    <w:p>
      <w:pPr>
        <w:spacing w:line="600" w:lineRule="exact"/>
        <w:ind w:firstLine="560" w:firstLineChars="200"/>
        <w:textAlignment w:val="baseline"/>
        <w:rPr>
          <w:rFonts w:ascii="宋体" w:hAnsi="宋体"/>
          <w:sz w:val="28"/>
          <w:szCs w:val="28"/>
        </w:rPr>
      </w:pPr>
      <w:r>
        <w:rPr>
          <w:rFonts w:hint="eastAsia" w:ascii="宋体" w:hAnsi="宋体"/>
          <w:sz w:val="28"/>
          <w:szCs w:val="28"/>
        </w:rPr>
        <w:t>随后，赤凤镇人民政府委托广东省科学院广州地理研究所编制规</w:t>
      </w:r>
    </w:p>
    <w:p>
      <w:pPr>
        <w:spacing w:line="600" w:lineRule="exact"/>
        <w:textAlignment w:val="baseline"/>
        <w:rPr>
          <w:rFonts w:ascii="宋体" w:hAnsi="宋体"/>
          <w:sz w:val="28"/>
          <w:szCs w:val="28"/>
        </w:rPr>
      </w:pPr>
      <w:r>
        <w:rPr>
          <w:rFonts w:hint="eastAsia" w:ascii="宋体" w:hAnsi="宋体"/>
          <w:sz w:val="28"/>
          <w:szCs w:val="28"/>
        </w:rPr>
        <w:t>划局部调整方案。2020年</w:t>
      </w:r>
      <w:r>
        <w:rPr>
          <w:rFonts w:ascii="宋体" w:hAnsi="宋体"/>
          <w:sz w:val="28"/>
          <w:szCs w:val="28"/>
        </w:rPr>
        <w:t>9</w:t>
      </w:r>
      <w:r>
        <w:rPr>
          <w:rFonts w:hint="eastAsia" w:ascii="宋体" w:hAnsi="宋体"/>
          <w:sz w:val="28"/>
          <w:szCs w:val="28"/>
        </w:rPr>
        <w:t>月</w:t>
      </w:r>
      <w:r>
        <w:rPr>
          <w:rFonts w:ascii="宋体" w:hAnsi="宋体"/>
          <w:sz w:val="28"/>
          <w:szCs w:val="28"/>
        </w:rPr>
        <w:t>15</w:t>
      </w:r>
      <w:r>
        <w:rPr>
          <w:rFonts w:hint="eastAsia" w:ascii="宋体" w:hAnsi="宋体"/>
          <w:sz w:val="28"/>
          <w:szCs w:val="28"/>
        </w:rPr>
        <w:t>日，赤凤镇人民政府组织召开了《潮安县赤凤镇总体规划（20</w:t>
      </w:r>
      <w:r>
        <w:rPr>
          <w:rFonts w:ascii="宋体" w:hAnsi="宋体"/>
          <w:sz w:val="28"/>
          <w:szCs w:val="28"/>
        </w:rPr>
        <w:t>11</w:t>
      </w:r>
      <w:r>
        <w:rPr>
          <w:rFonts w:hint="eastAsia" w:ascii="宋体" w:hAnsi="宋体"/>
          <w:sz w:val="28"/>
          <w:szCs w:val="28"/>
        </w:rPr>
        <w:t>-2020）局部调整方案》专家评审会，市、区相关专业五名专家及区相关部门参加会议。会议一致通过《潮安县赤凤镇总体规划（20</w:t>
      </w:r>
      <w:r>
        <w:rPr>
          <w:rFonts w:ascii="宋体" w:hAnsi="宋体"/>
          <w:sz w:val="28"/>
          <w:szCs w:val="28"/>
        </w:rPr>
        <w:t>11</w:t>
      </w:r>
      <w:r>
        <w:rPr>
          <w:rFonts w:hint="eastAsia" w:ascii="宋体" w:hAnsi="宋体"/>
          <w:sz w:val="28"/>
          <w:szCs w:val="28"/>
        </w:rPr>
        <w:t>-2020）局部调整方案》，并提出了具体的修改意见。</w:t>
      </w:r>
    </w:p>
    <w:p>
      <w:pPr>
        <w:spacing w:line="600" w:lineRule="exact"/>
        <w:textAlignment w:val="baseline"/>
        <w:rPr>
          <w:rFonts w:ascii="宋体" w:hAnsi="宋体"/>
          <w:sz w:val="28"/>
          <w:szCs w:val="28"/>
        </w:rPr>
      </w:pPr>
    </w:p>
    <w:p>
      <w:pPr>
        <w:pStyle w:val="8"/>
        <w:numPr>
          <w:ilvl w:val="0"/>
          <w:numId w:val="1"/>
        </w:numPr>
        <w:ind w:firstLineChars="0"/>
        <w:rPr>
          <w:b/>
          <w:bCs/>
          <w:color w:val="000000"/>
          <w:sz w:val="32"/>
          <w:szCs w:val="32"/>
        </w:rPr>
      </w:pPr>
      <w:r>
        <w:rPr>
          <w:rFonts w:hint="eastAsia"/>
          <w:b/>
          <w:bCs/>
          <w:color w:val="000000"/>
          <w:sz w:val="32"/>
          <w:szCs w:val="32"/>
        </w:rPr>
        <w:t>规划调整详情</w:t>
      </w:r>
    </w:p>
    <w:p>
      <w:pPr>
        <w:pStyle w:val="10"/>
        <w:ind w:firstLine="560"/>
        <w:rPr>
          <w:rFonts w:ascii="宋体" w:hAnsi="宋体"/>
          <w:sz w:val="28"/>
          <w:szCs w:val="28"/>
        </w:rPr>
      </w:pPr>
      <w:r>
        <w:rPr>
          <w:rFonts w:hint="eastAsia" w:ascii="宋体" w:hAnsi="宋体"/>
          <w:sz w:val="28"/>
          <w:szCs w:val="28"/>
        </w:rPr>
        <w:t>本次规划调整涉及5处地块（编号为01-05），用地面积共1.7公顷，调整情况如下</w:t>
      </w:r>
      <w:r>
        <w:rPr>
          <w:rFonts w:ascii="宋体" w:hAnsi="宋体"/>
          <w:sz w:val="28"/>
          <w:szCs w:val="28"/>
        </w:rPr>
        <w:t>：</w:t>
      </w:r>
    </w:p>
    <w:p>
      <w:pPr>
        <w:snapToGrid w:val="0"/>
        <w:spacing w:line="360" w:lineRule="auto"/>
        <w:ind w:firstLine="439" w:firstLineChars="182"/>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表1 地块调整前后用地情况对比表</w:t>
      </w:r>
    </w:p>
    <w:p>
      <w:pPr>
        <w:snapToGrid w:val="0"/>
        <w:spacing w:line="360" w:lineRule="auto"/>
        <w:jc w:val="right"/>
        <w:rPr>
          <w:rFonts w:ascii="宋体" w:hAnsi="宋体" w:eastAsia="宋体" w:cs="宋体"/>
          <w:szCs w:val="21"/>
          <w:shd w:val="clear" w:color="auto" w:fill="7F7F7F"/>
        </w:rPr>
      </w:pPr>
      <w:r>
        <w:rPr>
          <w:rFonts w:hint="eastAsia" w:ascii="宋体" w:hAnsi="宋体" w:eastAsia="宋体" w:cs="宋体"/>
          <w:szCs w:val="21"/>
        </w:rPr>
        <w:t>单位：公顷</w:t>
      </w:r>
    </w:p>
    <w:tbl>
      <w:tblPr>
        <w:tblStyle w:val="6"/>
        <w:tblW w:w="8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85"/>
        <w:gridCol w:w="2233"/>
        <w:gridCol w:w="1142"/>
        <w:gridCol w:w="2250"/>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序号</w:t>
            </w:r>
          </w:p>
        </w:tc>
        <w:tc>
          <w:tcPr>
            <w:tcW w:w="1285"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名称</w:t>
            </w:r>
          </w:p>
        </w:tc>
        <w:tc>
          <w:tcPr>
            <w:tcW w:w="337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用地调整前</w:t>
            </w:r>
          </w:p>
        </w:tc>
        <w:tc>
          <w:tcPr>
            <w:tcW w:w="325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bCs/>
                <w:color w:val="000000"/>
                <w:kern w:val="0"/>
                <w:sz w:val="24"/>
                <w:szCs w:val="24"/>
              </w:rPr>
            </w:pPr>
          </w:p>
        </w:tc>
        <w:tc>
          <w:tcPr>
            <w:tcW w:w="128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color w:val="000000"/>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地类名称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面积</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地类名称</w:t>
            </w:r>
          </w:p>
        </w:tc>
        <w:tc>
          <w:tcPr>
            <w:tcW w:w="1004"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4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1</w:t>
            </w:r>
          </w:p>
        </w:tc>
        <w:tc>
          <w:tcPr>
            <w:tcW w:w="128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地块01</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防灾设施用地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0.14</w:t>
            </w:r>
          </w:p>
        </w:tc>
        <w:tc>
          <w:tcPr>
            <w:tcW w:w="2250" w:type="dxa"/>
            <w:vMerge w:val="restart"/>
            <w:tcBorders>
              <w:top w:val="nil"/>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居住用地</w:t>
            </w:r>
          </w:p>
        </w:tc>
        <w:tc>
          <w:tcPr>
            <w:tcW w:w="1004" w:type="dxa"/>
            <w:vMerge w:val="restart"/>
            <w:tcBorders>
              <w:top w:val="nil"/>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kern w:val="0"/>
                <w:sz w:val="24"/>
                <w:szCs w:val="24"/>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2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广场用地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0.14</w:t>
            </w:r>
          </w:p>
        </w:tc>
        <w:tc>
          <w:tcPr>
            <w:tcW w:w="225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00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2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医疗保健用地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0.08</w:t>
            </w:r>
          </w:p>
        </w:tc>
        <w:tc>
          <w:tcPr>
            <w:tcW w:w="2250"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00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2</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kern w:val="0"/>
                <w:sz w:val="24"/>
                <w:szCs w:val="24"/>
              </w:rPr>
              <w:t>地块02</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林地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0.26</w:t>
            </w:r>
          </w:p>
        </w:tc>
        <w:tc>
          <w:tcPr>
            <w:tcW w:w="225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道路用地</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3</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kern w:val="0"/>
                <w:sz w:val="24"/>
                <w:szCs w:val="24"/>
              </w:rPr>
              <w:t>地块03</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防护绿地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0.78</w:t>
            </w:r>
          </w:p>
        </w:tc>
        <w:tc>
          <w:tcPr>
            <w:tcW w:w="225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道路用地</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szCs w:val="21"/>
              </w:rPr>
              <w:t>4</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szCs w:val="21"/>
              </w:rPr>
            </w:pPr>
            <w:r>
              <w:rPr>
                <w:rFonts w:hint="eastAsia" w:ascii="宋体" w:hAnsi="宋体" w:eastAsia="宋体" w:cs="Times New Roman"/>
                <w:kern w:val="0"/>
                <w:sz w:val="24"/>
                <w:szCs w:val="24"/>
              </w:rPr>
              <w:t>地块04</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林地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0.12</w:t>
            </w:r>
          </w:p>
        </w:tc>
        <w:tc>
          <w:tcPr>
            <w:tcW w:w="225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商业设施用地</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宋体" w:cs="Times New Roman"/>
                <w:szCs w:val="21"/>
              </w:rPr>
            </w:pPr>
            <w:r>
              <w:rPr>
                <w:rFonts w:hint="eastAsia" w:ascii="宋体" w:hAnsi="宋体" w:eastAsia="宋体" w:cs="Times New Roman"/>
                <w:szCs w:val="21"/>
              </w:rPr>
              <w:t>5</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kern w:val="0"/>
                <w:sz w:val="24"/>
                <w:szCs w:val="24"/>
              </w:rPr>
            </w:pPr>
            <w:r>
              <w:rPr>
                <w:rFonts w:hint="eastAsia" w:ascii="宋体" w:hAnsi="宋体" w:eastAsia="宋体" w:cs="Times New Roman"/>
                <w:kern w:val="0"/>
                <w:sz w:val="24"/>
                <w:szCs w:val="24"/>
              </w:rPr>
              <w:t>地块05</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林地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0.18</w:t>
            </w:r>
          </w:p>
        </w:tc>
        <w:tc>
          <w:tcPr>
            <w:tcW w:w="2250"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商业设施用地</w:t>
            </w:r>
          </w:p>
        </w:tc>
        <w:tc>
          <w:tcPr>
            <w:tcW w:w="1004" w:type="dxa"/>
            <w:tcBorders>
              <w:top w:val="single" w:color="auto" w:sz="4" w:space="0"/>
              <w:left w:val="nil"/>
              <w:bottom w:val="single" w:color="auto" w:sz="4" w:space="0"/>
              <w:right w:val="single" w:color="auto" w:sz="4" w:space="0"/>
            </w:tcBorders>
            <w:vAlign w:val="center"/>
          </w:tcPr>
          <w:p>
            <w:pPr>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0.18</w:t>
            </w:r>
          </w:p>
        </w:tc>
      </w:tr>
    </w:tbl>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镇区内的调整地块（地块01和地块03）调整后，增加的用地类型为城市居住用地0.36公顷和道路用地0.78公顷；减少的用地主要为防护绿地0.78公顷、广场用地0.14公顷、工程设施用地0.14公顷和医疗保健用地0.08公顷。         </w:t>
      </w:r>
    </w:p>
    <w:p>
      <w:pPr>
        <w:snapToGrid w:val="0"/>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镇区外围主要增加的规划建设用地为作为花卉培育基地的商业配套设施用地0.3公顷，和作为交通设施配套用地的道路用地0.26公顷。</w:t>
      </w:r>
    </w:p>
    <w:p>
      <w:pPr>
        <w:snapToGrid w:val="0"/>
        <w:spacing w:line="360" w:lineRule="auto"/>
        <w:ind w:firstLine="560" w:firstLineChars="200"/>
        <w:rPr>
          <w:rFonts w:ascii="宋体" w:hAnsi="宋体" w:eastAsia="宋体" w:cs="宋体"/>
          <w:sz w:val="28"/>
          <w:szCs w:val="28"/>
        </w:rPr>
      </w:pPr>
    </w:p>
    <w:p>
      <w:pPr>
        <w:snapToGrid w:val="0"/>
        <w:spacing w:line="360" w:lineRule="auto"/>
        <w:jc w:val="center"/>
        <w:rPr>
          <w:rFonts w:ascii="宋体" w:hAnsi="Times New Roman" w:eastAsia="宋体" w:cs="Times New Roman"/>
          <w:b/>
          <w:bCs/>
          <w:sz w:val="22"/>
        </w:rPr>
      </w:pPr>
      <w:r>
        <w:rPr>
          <w:rFonts w:hint="eastAsia" w:ascii="宋体" w:hAnsi="宋体" w:eastAsia="宋体" w:cs="Times New Roman"/>
          <w:b/>
          <w:bCs/>
          <w:sz w:val="22"/>
        </w:rPr>
        <w:t>表</w:t>
      </w:r>
      <w:r>
        <w:rPr>
          <w:rFonts w:hint="eastAsia" w:ascii="宋体" w:hAnsi="Times New Roman" w:eastAsia="宋体" w:cs="Times New Roman"/>
          <w:b/>
          <w:bCs/>
          <w:sz w:val="22"/>
        </w:rPr>
        <w:t xml:space="preserve">2  </w:t>
      </w:r>
      <w:r>
        <w:rPr>
          <w:rFonts w:hint="eastAsia" w:ascii="宋体" w:hAnsi="宋体" w:eastAsia="宋体" w:cs="Times New Roman"/>
          <w:b/>
          <w:bCs/>
          <w:sz w:val="22"/>
        </w:rPr>
        <w:t>调整前后赤凤镇区用地平衡对比表（</w:t>
      </w:r>
      <w:r>
        <w:rPr>
          <w:rFonts w:hint="eastAsia" w:ascii="宋体" w:hAnsi="Times New Roman" w:eastAsia="宋体" w:cs="Times New Roman"/>
          <w:b/>
          <w:bCs/>
          <w:sz w:val="22"/>
        </w:rPr>
        <w:t>2020年）</w:t>
      </w:r>
    </w:p>
    <w:tbl>
      <w:tblPr>
        <w:tblStyle w:val="6"/>
        <w:tblW w:w="4998"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57"/>
        <w:gridCol w:w="990"/>
        <w:gridCol w:w="740"/>
        <w:gridCol w:w="2250"/>
        <w:gridCol w:w="1224"/>
        <w:gridCol w:w="15"/>
        <w:gridCol w:w="1246"/>
        <w:gridCol w:w="12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2" w:hRule="atLeast"/>
          <w:jc w:val="center"/>
        </w:trPr>
        <w:tc>
          <w:tcPr>
            <w:tcW w:w="445" w:type="pct"/>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序号</w:t>
            </w:r>
          </w:p>
        </w:tc>
        <w:tc>
          <w:tcPr>
            <w:tcW w:w="581" w:type="pct"/>
            <w:vMerge w:val="restar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用地代号</w:t>
            </w:r>
          </w:p>
        </w:tc>
        <w:tc>
          <w:tcPr>
            <w:tcW w:w="1753" w:type="pct"/>
            <w:gridSpan w:val="2"/>
            <w:vMerge w:val="restar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用地名称</w:t>
            </w:r>
          </w:p>
        </w:tc>
        <w:tc>
          <w:tcPr>
            <w:tcW w:w="1458" w:type="pct"/>
            <w:gridSpan w:val="3"/>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面积</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(公顷)</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调整后面积变化</w:t>
            </w:r>
          </w:p>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（公顷）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gridSpan w:val="2"/>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调整前</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调整后</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变化面积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w:t>
            </w:r>
          </w:p>
        </w:tc>
        <w:tc>
          <w:tcPr>
            <w:tcW w:w="58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R</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居住用地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34.8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35.16</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0.36 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2</w:t>
            </w:r>
          </w:p>
        </w:tc>
        <w:tc>
          <w:tcPr>
            <w:tcW w:w="581"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C</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公共设施用地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12.8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12.8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434"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其中</w:t>
            </w: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行政办公用地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1.3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1.3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教育机构用地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3.4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3.4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文体科技用地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3.6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3.6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3"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医疗保健用地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0.7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0.62</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-0.08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商业金融用地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3.2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3.2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9"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集贸市场用地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0.6</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0.6</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w:t>
            </w:r>
          </w:p>
        </w:tc>
        <w:tc>
          <w:tcPr>
            <w:tcW w:w="58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T</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对外交通用地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0.4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0.4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4</w:t>
            </w:r>
          </w:p>
        </w:tc>
        <w:tc>
          <w:tcPr>
            <w:tcW w:w="581"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S</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道路广场用地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14.7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14.7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434"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其</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中</w:t>
            </w: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道路用地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13.8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14.58</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0.78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广场用地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0.9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0.76 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5</w:t>
            </w:r>
          </w:p>
        </w:tc>
        <w:tc>
          <w:tcPr>
            <w:tcW w:w="58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U</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市政公用设施用地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1.3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1.16 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6</w:t>
            </w:r>
          </w:p>
        </w:tc>
        <w:tc>
          <w:tcPr>
            <w:tcW w:w="581"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G</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绿   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20.0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20.0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434"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其</w:t>
            </w:r>
          </w:p>
          <w:p>
            <w:pPr>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中</w:t>
            </w: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公共绿地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10.1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10.1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防护绿地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9.9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9.12 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-0.78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1026" w:type="pct"/>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小计</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城镇建设用地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83.9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83.9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445" w:type="pct"/>
            <w:vMerge w:val="restart"/>
            <w:tcBorders>
              <w:top w:val="nil"/>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7</w:t>
            </w:r>
          </w:p>
        </w:tc>
        <w:tc>
          <w:tcPr>
            <w:tcW w:w="581"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E</w:t>
            </w:r>
          </w:p>
        </w:tc>
        <w:tc>
          <w:tcPr>
            <w:tcW w:w="1753"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水域和其它用地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48.1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48.1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434" w:type="pct"/>
            <w:vMerge w:val="restart"/>
            <w:tcBorders>
              <w:top w:val="nil"/>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其</w:t>
            </w:r>
          </w:p>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中</w:t>
            </w: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水域</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3.4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3.4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控制备用地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14.6 </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14.6 </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Times New Roman"/>
                <w:color w:val="000000"/>
                <w:kern w:val="0"/>
                <w:szCs w:val="21"/>
              </w:rPr>
            </w:pPr>
          </w:p>
        </w:tc>
        <w:tc>
          <w:tcPr>
            <w:tcW w:w="1319"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农林种植地</w:t>
            </w:r>
          </w:p>
        </w:tc>
        <w:tc>
          <w:tcPr>
            <w:tcW w:w="727"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30.1</w:t>
            </w:r>
          </w:p>
        </w:tc>
        <w:tc>
          <w:tcPr>
            <w:tcW w:w="73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30.1</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jc w:val="center"/>
        </w:trPr>
        <w:tc>
          <w:tcPr>
            <w:tcW w:w="2780" w:type="pct"/>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镇区规划控制面积</w:t>
            </w:r>
          </w:p>
        </w:tc>
        <w:tc>
          <w:tcPr>
            <w:tcW w:w="718"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 xml:space="preserve">132.0 </w:t>
            </w:r>
          </w:p>
        </w:tc>
        <w:tc>
          <w:tcPr>
            <w:tcW w:w="740" w:type="pct"/>
            <w:gridSpan w:val="2"/>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132.0</w:t>
            </w:r>
          </w:p>
        </w:tc>
        <w:tc>
          <w:tcPr>
            <w:tcW w:w="761" w:type="pct"/>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Times New Roman"/>
                <w:color w:val="000000"/>
                <w:kern w:val="0"/>
                <w:szCs w:val="21"/>
              </w:rPr>
            </w:pPr>
            <w:r>
              <w:rPr>
                <w:rFonts w:hint="eastAsia" w:ascii="宋体" w:hAnsi="宋体" w:eastAsia="宋体" w:cs="Times New Roman"/>
                <w:color w:val="000000"/>
                <w:kern w:val="0"/>
                <w:szCs w:val="21"/>
              </w:rPr>
              <w:t>0</w:t>
            </w:r>
          </w:p>
        </w:tc>
      </w:tr>
    </w:tbl>
    <w:p>
      <w:pPr>
        <w:snapToGrid w:val="0"/>
        <w:spacing w:line="360" w:lineRule="auto"/>
        <w:ind w:firstLine="560" w:firstLineChars="200"/>
        <w:rPr>
          <w:rFonts w:ascii="宋体" w:hAnsi="宋体" w:eastAsia="宋体" w:cs="宋体"/>
          <w:sz w:val="28"/>
          <w:szCs w:val="28"/>
        </w:rPr>
      </w:pPr>
      <w:r>
        <w:rPr>
          <w:rFonts w:ascii="宋体" w:hAnsi="宋体" w:eastAsia="宋体" w:cs="宋体"/>
          <w:sz w:val="28"/>
          <w:szCs w:val="28"/>
        </w:rPr>
        <w:t>从</w:t>
      </w:r>
      <w:r>
        <w:rPr>
          <w:rFonts w:hint="eastAsia" w:ascii="宋体" w:hAnsi="宋体" w:eastAsia="宋体" w:cs="宋体"/>
          <w:sz w:val="28"/>
          <w:szCs w:val="28"/>
        </w:rPr>
        <w:t>调整前后赤凤镇区用地平衡对比表</w:t>
      </w:r>
      <w:r>
        <w:rPr>
          <w:rFonts w:ascii="宋体" w:hAnsi="宋体" w:eastAsia="宋体" w:cs="宋体"/>
          <w:sz w:val="28"/>
          <w:szCs w:val="28"/>
        </w:rPr>
        <w:t>中可看出，调整后镇区建设用地总量</w:t>
      </w:r>
      <w:r>
        <w:rPr>
          <w:rFonts w:hint="eastAsia" w:ascii="宋体" w:hAnsi="宋体" w:eastAsia="宋体" w:cs="宋体"/>
          <w:sz w:val="28"/>
          <w:szCs w:val="28"/>
        </w:rPr>
        <w:t>没有发生变化，只对土地利用结构进行调整。</w:t>
      </w:r>
      <w:r>
        <w:rPr>
          <w:rFonts w:ascii="宋体" w:hAnsi="宋体" w:eastAsia="宋体" w:cs="宋体"/>
          <w:sz w:val="28"/>
          <w:szCs w:val="28"/>
        </w:rPr>
        <w:t>其中主要增加的用地</w:t>
      </w:r>
      <w:r>
        <w:rPr>
          <w:rFonts w:hint="eastAsia" w:ascii="宋体" w:hAnsi="宋体" w:eastAsia="宋体" w:cs="宋体"/>
          <w:sz w:val="28"/>
          <w:szCs w:val="28"/>
        </w:rPr>
        <w:t>类型</w:t>
      </w:r>
      <w:r>
        <w:rPr>
          <w:rFonts w:ascii="宋体" w:hAnsi="宋体" w:eastAsia="宋体" w:cs="宋体"/>
          <w:sz w:val="28"/>
          <w:szCs w:val="28"/>
        </w:rPr>
        <w:t>为城市居住用地</w:t>
      </w:r>
      <w:r>
        <w:rPr>
          <w:rFonts w:hint="eastAsia" w:ascii="宋体" w:hAnsi="宋体" w:eastAsia="宋体" w:cs="宋体"/>
          <w:sz w:val="28"/>
          <w:szCs w:val="28"/>
        </w:rPr>
        <w:t>和</w:t>
      </w:r>
      <w:r>
        <w:rPr>
          <w:rFonts w:ascii="宋体" w:hAnsi="宋体" w:eastAsia="宋体" w:cs="宋体"/>
          <w:sz w:val="28"/>
          <w:szCs w:val="28"/>
        </w:rPr>
        <w:t>道路用地；减少的用地主要为防护绿地</w:t>
      </w:r>
      <w:r>
        <w:rPr>
          <w:rFonts w:hint="eastAsia" w:ascii="宋体" w:hAnsi="宋体" w:eastAsia="宋体" w:cs="宋体"/>
          <w:sz w:val="28"/>
          <w:szCs w:val="28"/>
        </w:rPr>
        <w:t>、广场用地及工程设施用地</w:t>
      </w:r>
      <w:r>
        <w:rPr>
          <w:rFonts w:ascii="宋体" w:hAnsi="宋体" w:eastAsia="宋体" w:cs="宋体"/>
          <w:sz w:val="28"/>
          <w:szCs w:val="28"/>
        </w:rPr>
        <w:t>。</w:t>
      </w:r>
      <w:r>
        <w:rPr>
          <w:rFonts w:hint="eastAsia" w:ascii="宋体" w:hAnsi="宋体" w:eastAsia="宋体" w:cs="宋体"/>
          <w:sz w:val="28"/>
          <w:szCs w:val="28"/>
        </w:rPr>
        <w:t>综上，本次调整共涉及5处地块，调整面积共1.7公顷，调整面积占全镇总用地的0.02%左右，调整涉及面积范围小。调整后镇区规划建设用地面积总量没有发生改变，人口规模无需调整，不影响《现行规划》实施。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065B"/>
    <w:multiLevelType w:val="multilevel"/>
    <w:tmpl w:val="2315065B"/>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2"/>
    <w:rsid w:val="00066436"/>
    <w:rsid w:val="000C0857"/>
    <w:rsid w:val="00163E10"/>
    <w:rsid w:val="0020336F"/>
    <w:rsid w:val="0051759C"/>
    <w:rsid w:val="005A0A75"/>
    <w:rsid w:val="005E1416"/>
    <w:rsid w:val="005E59DB"/>
    <w:rsid w:val="00700382"/>
    <w:rsid w:val="00705CD9"/>
    <w:rsid w:val="007B04FB"/>
    <w:rsid w:val="007C7E92"/>
    <w:rsid w:val="0080332D"/>
    <w:rsid w:val="0081793B"/>
    <w:rsid w:val="008853AF"/>
    <w:rsid w:val="008A417B"/>
    <w:rsid w:val="00944316"/>
    <w:rsid w:val="00A46021"/>
    <w:rsid w:val="00A76BAD"/>
    <w:rsid w:val="00AF421E"/>
    <w:rsid w:val="00B74453"/>
    <w:rsid w:val="00BB3D42"/>
    <w:rsid w:val="00C23722"/>
    <w:rsid w:val="00C82D0A"/>
    <w:rsid w:val="00CE1DDA"/>
    <w:rsid w:val="00D76AEC"/>
    <w:rsid w:val="00DD7CFF"/>
    <w:rsid w:val="00E26A97"/>
    <w:rsid w:val="00EE7AE0"/>
    <w:rsid w:val="4C303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Indent 2"/>
    <w:basedOn w:val="1"/>
    <w:link w:val="9"/>
    <w:unhideWhenUsed/>
    <w:uiPriority w:val="99"/>
    <w:pPr>
      <w:snapToGrid w:val="0"/>
      <w:spacing w:line="360" w:lineRule="auto"/>
      <w:ind w:firstLine="510"/>
    </w:pPr>
    <w:rPr>
      <w:rFonts w:ascii="宋体" w:hAnsi="宋体" w:eastAsia="宋体" w:cs="宋体"/>
      <w:sz w:val="24"/>
      <w:szCs w:val="24"/>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正文文本缩进 2 Char"/>
    <w:basedOn w:val="7"/>
    <w:link w:val="3"/>
    <w:uiPriority w:val="99"/>
    <w:rPr>
      <w:rFonts w:ascii="宋体" w:hAnsi="宋体" w:eastAsia="宋体" w:cs="宋体"/>
      <w:sz w:val="24"/>
      <w:szCs w:val="24"/>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25518-590E-487B-8132-7A57539CD199}">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489</Words>
  <Characters>2790</Characters>
  <Lines>23</Lines>
  <Paragraphs>6</Paragraphs>
  <TotalTime>49</TotalTime>
  <ScaleCrop>false</ScaleCrop>
  <LinksUpToDate>false</LinksUpToDate>
  <CharactersWithSpaces>3273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2020-09-23T01:48:00Z</dcterms:created>
  <dc:creator>muifa</dc:creator>
  <cp:lastModifiedBy>Laughing</cp:lastModifiedBy>
  <cp:lastPrinted>2020-10-06T04:08:46Z</cp:lastPrinted>
  <dcterms:modified xsi:type="dcterms:W3CDTF">2020-10-06T04:08:51Z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