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b/>
        </w:rPr>
      </w:pPr>
      <w:bookmarkStart w:id="0" w:name="_Toc387829825"/>
      <w:r>
        <w:rPr>
          <w:rFonts w:hint="eastAsia"/>
          <w:b/>
        </w:rPr>
        <w:t>目  录</w:t>
      </w:r>
    </w:p>
    <w:p>
      <w:pPr>
        <w:pStyle w:val="7"/>
        <w:tabs>
          <w:tab w:val="right" w:leader="dot" w:pos="8312"/>
          <w:tab w:val="clear" w:pos="8296"/>
        </w:tabs>
      </w:pPr>
      <w:r>
        <w:rPr>
          <w:rFonts w:hint="eastAsia" w:hAnsi="Times New Roman"/>
        </w:rPr>
        <w:fldChar w:fldCharType="begin"/>
      </w:r>
      <w:r>
        <w:rPr>
          <w:rFonts w:hint="eastAsia" w:hAnsi="Times New Roman"/>
        </w:rPr>
        <w:instrText xml:space="preserve"> TOC \o "1-1" \h \z \u </w:instrText>
      </w:r>
      <w:r>
        <w:rPr>
          <w:rFonts w:hint="eastAsia" w:hAnsi="Times New Roman"/>
        </w:rPr>
        <w:fldChar w:fldCharType="separate"/>
      </w:r>
      <w:r>
        <w:rPr>
          <w:rFonts w:hint="eastAsia" w:hAnsi="Times New Roman"/>
        </w:rPr>
        <w:fldChar w:fldCharType="begin"/>
      </w:r>
      <w:r>
        <w:rPr>
          <w:rFonts w:hint="eastAsia" w:hAnsi="Times New Roman"/>
        </w:rPr>
        <w:instrText xml:space="preserve"> HYPERLINK \l _Toc13739 </w:instrText>
      </w:r>
      <w:r>
        <w:rPr>
          <w:rFonts w:hint="eastAsia" w:hAnsi="Times New Roman"/>
        </w:rPr>
        <w:fldChar w:fldCharType="separate"/>
      </w:r>
      <w:r>
        <w:rPr>
          <w:rFonts w:hint="eastAsia" w:ascii="仿宋_GB2312" w:hAnsi="Times New Roman" w:eastAsia="仿宋_GB2312"/>
          <w:szCs w:val="32"/>
        </w:rPr>
        <w:t>第一章  总则</w:t>
      </w:r>
      <w:r>
        <w:tab/>
      </w:r>
      <w:r>
        <w:fldChar w:fldCharType="begin"/>
      </w:r>
      <w:r>
        <w:instrText xml:space="preserve"> PAGEREF _Toc13739 \h </w:instrText>
      </w:r>
      <w:r>
        <w:fldChar w:fldCharType="separate"/>
      </w:r>
      <w:r>
        <w:t>1</w:t>
      </w:r>
      <w:r>
        <w:fldChar w:fldCharType="end"/>
      </w:r>
      <w:r>
        <w:rPr>
          <w:rFonts w:hint="eastAsia" w:hAnsi="Times New Roman"/>
        </w:rPr>
        <w:fldChar w:fldCharType="end"/>
      </w:r>
    </w:p>
    <w:p>
      <w:pPr>
        <w:pStyle w:val="7"/>
        <w:tabs>
          <w:tab w:val="right" w:leader="dot" w:pos="8312"/>
          <w:tab w:val="clear" w:pos="8296"/>
        </w:tabs>
      </w:pPr>
      <w:r>
        <w:rPr>
          <w:rFonts w:hint="eastAsia" w:ascii="仿宋_GB2312" w:hAnsi="Times New Roman" w:eastAsia="仿宋_GB2312"/>
          <w:szCs w:val="24"/>
        </w:rPr>
        <w:fldChar w:fldCharType="begin"/>
      </w:r>
      <w:r>
        <w:rPr>
          <w:rFonts w:hint="eastAsia" w:ascii="仿宋_GB2312" w:hAnsi="Times New Roman" w:eastAsia="仿宋_GB2312"/>
          <w:szCs w:val="24"/>
        </w:rPr>
        <w:instrText xml:space="preserve"> HYPERLINK \l _Toc10636 </w:instrText>
      </w:r>
      <w:r>
        <w:rPr>
          <w:rFonts w:hint="eastAsia" w:ascii="仿宋_GB2312" w:hAnsi="Times New Roman" w:eastAsia="仿宋_GB2312"/>
          <w:szCs w:val="24"/>
        </w:rPr>
        <w:fldChar w:fldCharType="separate"/>
      </w:r>
      <w:r>
        <w:rPr>
          <w:rFonts w:hint="eastAsia" w:ascii="仿宋_GB2312" w:hAnsi="Times New Roman" w:eastAsia="仿宋_GB2312"/>
          <w:szCs w:val="32"/>
        </w:rPr>
        <w:t>第二章  用地规模与布局</w:t>
      </w:r>
      <w:r>
        <w:tab/>
      </w:r>
      <w:r>
        <w:fldChar w:fldCharType="begin"/>
      </w:r>
      <w:r>
        <w:instrText xml:space="preserve"> PAGEREF _Toc10636 \h </w:instrText>
      </w:r>
      <w:r>
        <w:fldChar w:fldCharType="separate"/>
      </w:r>
      <w:r>
        <w:t>3</w:t>
      </w:r>
      <w:r>
        <w:fldChar w:fldCharType="end"/>
      </w:r>
      <w:r>
        <w:rPr>
          <w:rFonts w:hint="eastAsia" w:ascii="仿宋_GB2312" w:hAnsi="Times New Roman" w:eastAsia="仿宋_GB2312"/>
          <w:szCs w:val="24"/>
        </w:rPr>
        <w:fldChar w:fldCharType="end"/>
      </w:r>
    </w:p>
    <w:p>
      <w:pPr>
        <w:pStyle w:val="7"/>
        <w:tabs>
          <w:tab w:val="right" w:leader="dot" w:pos="8312"/>
          <w:tab w:val="clear" w:pos="8296"/>
        </w:tabs>
      </w:pPr>
      <w:r>
        <w:rPr>
          <w:rFonts w:hint="eastAsia" w:ascii="仿宋_GB2312" w:hAnsi="Times New Roman" w:eastAsia="仿宋_GB2312"/>
          <w:szCs w:val="24"/>
        </w:rPr>
        <w:fldChar w:fldCharType="begin"/>
      </w:r>
      <w:r>
        <w:rPr>
          <w:rFonts w:hint="eastAsia" w:ascii="仿宋_GB2312" w:hAnsi="Times New Roman" w:eastAsia="仿宋_GB2312"/>
          <w:szCs w:val="24"/>
        </w:rPr>
        <w:instrText xml:space="preserve"> HYPERLINK \l _Toc4569 </w:instrText>
      </w:r>
      <w:r>
        <w:rPr>
          <w:rFonts w:hint="eastAsia" w:ascii="仿宋_GB2312" w:hAnsi="Times New Roman" w:eastAsia="仿宋_GB2312"/>
          <w:szCs w:val="24"/>
        </w:rPr>
        <w:fldChar w:fldCharType="separate"/>
      </w:r>
      <w:r>
        <w:rPr>
          <w:rFonts w:hint="eastAsia" w:ascii="仿宋_GB2312" w:hAnsi="Times New Roman" w:eastAsia="仿宋_GB2312"/>
          <w:szCs w:val="32"/>
          <w:lang w:eastAsia="zh-CN"/>
        </w:rPr>
        <w:t>第三章  地块划分与</w:t>
      </w:r>
      <w:r>
        <w:rPr>
          <w:rFonts w:hint="eastAsia" w:ascii="仿宋_GB2312" w:hAnsi="Times New Roman" w:eastAsia="仿宋_GB2312"/>
          <w:szCs w:val="32"/>
        </w:rPr>
        <w:t>控制</w:t>
      </w:r>
      <w:r>
        <w:tab/>
      </w:r>
      <w:r>
        <w:fldChar w:fldCharType="begin"/>
      </w:r>
      <w:r>
        <w:instrText xml:space="preserve"> PAGEREF _Toc4569 \h </w:instrText>
      </w:r>
      <w:r>
        <w:fldChar w:fldCharType="separate"/>
      </w:r>
      <w:r>
        <w:t>4</w:t>
      </w:r>
      <w:r>
        <w:fldChar w:fldCharType="end"/>
      </w:r>
      <w:r>
        <w:rPr>
          <w:rFonts w:hint="eastAsia" w:ascii="仿宋_GB2312" w:hAnsi="Times New Roman" w:eastAsia="仿宋_GB2312"/>
          <w:szCs w:val="24"/>
        </w:rPr>
        <w:fldChar w:fldCharType="end"/>
      </w:r>
    </w:p>
    <w:p>
      <w:pPr>
        <w:pStyle w:val="7"/>
        <w:tabs>
          <w:tab w:val="right" w:leader="dot" w:pos="8312"/>
          <w:tab w:val="clear" w:pos="8296"/>
        </w:tabs>
      </w:pPr>
      <w:r>
        <w:rPr>
          <w:rFonts w:hint="eastAsia" w:ascii="仿宋_GB2312" w:hAnsi="Times New Roman" w:eastAsia="仿宋_GB2312"/>
          <w:szCs w:val="24"/>
        </w:rPr>
        <w:fldChar w:fldCharType="begin"/>
      </w:r>
      <w:r>
        <w:rPr>
          <w:rFonts w:hint="eastAsia" w:ascii="仿宋_GB2312" w:hAnsi="Times New Roman" w:eastAsia="仿宋_GB2312"/>
          <w:szCs w:val="24"/>
        </w:rPr>
        <w:instrText xml:space="preserve"> HYPERLINK \l _Toc15060 </w:instrText>
      </w:r>
      <w:r>
        <w:rPr>
          <w:rFonts w:hint="eastAsia" w:ascii="仿宋_GB2312" w:hAnsi="Times New Roman" w:eastAsia="仿宋_GB2312"/>
          <w:szCs w:val="24"/>
        </w:rPr>
        <w:fldChar w:fldCharType="separate"/>
      </w:r>
      <w:r>
        <w:rPr>
          <w:rFonts w:hint="eastAsia" w:ascii="仿宋_GB2312" w:hAnsi="Times New Roman" w:eastAsia="仿宋_GB2312"/>
          <w:szCs w:val="32"/>
          <w:lang w:eastAsia="zh-CN"/>
        </w:rPr>
        <w:t xml:space="preserve">第四章  </w:t>
      </w:r>
      <w:r>
        <w:rPr>
          <w:rFonts w:hint="eastAsia" w:ascii="仿宋_GB2312" w:hAnsi="Times New Roman" w:eastAsia="仿宋_GB2312"/>
          <w:szCs w:val="32"/>
          <w:lang w:val="en-US" w:eastAsia="zh-CN"/>
        </w:rPr>
        <w:t>道路系统</w:t>
      </w:r>
      <w:r>
        <w:rPr>
          <w:rFonts w:hint="eastAsia" w:ascii="仿宋_GB2312" w:hAnsi="Times New Roman" w:eastAsia="仿宋_GB2312"/>
          <w:szCs w:val="32"/>
        </w:rPr>
        <w:t>规划</w:t>
      </w:r>
      <w:r>
        <w:tab/>
      </w:r>
      <w:r>
        <w:fldChar w:fldCharType="begin"/>
      </w:r>
      <w:r>
        <w:instrText xml:space="preserve"> PAGEREF _Toc15060 \h </w:instrText>
      </w:r>
      <w:r>
        <w:fldChar w:fldCharType="separate"/>
      </w:r>
      <w:r>
        <w:t>6</w:t>
      </w:r>
      <w:r>
        <w:fldChar w:fldCharType="end"/>
      </w:r>
      <w:r>
        <w:rPr>
          <w:rFonts w:hint="eastAsia" w:ascii="仿宋_GB2312" w:hAnsi="Times New Roman" w:eastAsia="仿宋_GB2312"/>
          <w:szCs w:val="24"/>
        </w:rPr>
        <w:fldChar w:fldCharType="end"/>
      </w:r>
    </w:p>
    <w:p>
      <w:pPr>
        <w:pStyle w:val="7"/>
        <w:tabs>
          <w:tab w:val="right" w:leader="dot" w:pos="8312"/>
          <w:tab w:val="clear" w:pos="8296"/>
        </w:tabs>
      </w:pPr>
      <w:r>
        <w:rPr>
          <w:rFonts w:hint="eastAsia" w:ascii="仿宋_GB2312" w:hAnsi="Times New Roman" w:eastAsia="仿宋_GB2312"/>
          <w:szCs w:val="24"/>
        </w:rPr>
        <w:fldChar w:fldCharType="begin"/>
      </w:r>
      <w:r>
        <w:rPr>
          <w:rFonts w:hint="eastAsia" w:ascii="仿宋_GB2312" w:hAnsi="Times New Roman" w:eastAsia="仿宋_GB2312"/>
          <w:szCs w:val="24"/>
        </w:rPr>
        <w:instrText xml:space="preserve"> HYPERLINK \l _Toc20784 </w:instrText>
      </w:r>
      <w:r>
        <w:rPr>
          <w:rFonts w:hint="eastAsia" w:ascii="仿宋_GB2312" w:hAnsi="Times New Roman" w:eastAsia="仿宋_GB2312"/>
          <w:szCs w:val="24"/>
        </w:rPr>
        <w:fldChar w:fldCharType="separate"/>
      </w:r>
      <w:r>
        <w:rPr>
          <w:rFonts w:hint="eastAsia" w:ascii="仿宋_GB2312" w:hAnsi="Times New Roman" w:eastAsia="仿宋_GB2312"/>
          <w:szCs w:val="32"/>
        </w:rPr>
        <w:t>第</w:t>
      </w:r>
      <w:r>
        <w:rPr>
          <w:rFonts w:hint="eastAsia" w:ascii="仿宋_GB2312" w:hAnsi="Times New Roman" w:eastAsia="仿宋_GB2312"/>
          <w:szCs w:val="32"/>
          <w:lang w:val="en-US" w:eastAsia="zh-CN"/>
        </w:rPr>
        <w:t>五</w:t>
      </w:r>
      <w:r>
        <w:rPr>
          <w:rFonts w:hint="eastAsia" w:ascii="仿宋_GB2312" w:hAnsi="Times New Roman" w:eastAsia="仿宋_GB2312"/>
          <w:szCs w:val="32"/>
        </w:rPr>
        <w:t>章  市政基础设施规划</w:t>
      </w:r>
      <w:r>
        <w:tab/>
      </w:r>
      <w:r>
        <w:fldChar w:fldCharType="begin"/>
      </w:r>
      <w:r>
        <w:instrText xml:space="preserve"> PAGEREF _Toc20784 \h </w:instrText>
      </w:r>
      <w:r>
        <w:fldChar w:fldCharType="separate"/>
      </w:r>
      <w:r>
        <w:t>7</w:t>
      </w:r>
      <w:r>
        <w:fldChar w:fldCharType="end"/>
      </w:r>
      <w:r>
        <w:rPr>
          <w:rFonts w:hint="eastAsia" w:ascii="仿宋_GB2312" w:hAnsi="Times New Roman" w:eastAsia="仿宋_GB2312"/>
          <w:szCs w:val="24"/>
        </w:rPr>
        <w:fldChar w:fldCharType="end"/>
      </w:r>
    </w:p>
    <w:p>
      <w:pPr>
        <w:pStyle w:val="7"/>
        <w:tabs>
          <w:tab w:val="right" w:leader="dot" w:pos="8312"/>
          <w:tab w:val="clear" w:pos="8296"/>
        </w:tabs>
      </w:pPr>
      <w:r>
        <w:rPr>
          <w:rFonts w:hint="eastAsia" w:ascii="仿宋_GB2312" w:hAnsi="Times New Roman" w:eastAsia="仿宋_GB2312"/>
          <w:szCs w:val="24"/>
        </w:rPr>
        <w:fldChar w:fldCharType="begin"/>
      </w:r>
      <w:r>
        <w:rPr>
          <w:rFonts w:hint="eastAsia" w:ascii="仿宋_GB2312" w:hAnsi="Times New Roman" w:eastAsia="仿宋_GB2312"/>
          <w:szCs w:val="24"/>
        </w:rPr>
        <w:instrText xml:space="preserve"> HYPERLINK \l _Toc30052 </w:instrText>
      </w:r>
      <w:r>
        <w:rPr>
          <w:rFonts w:hint="eastAsia" w:ascii="仿宋_GB2312" w:hAnsi="Times New Roman" w:eastAsia="仿宋_GB2312"/>
          <w:szCs w:val="24"/>
        </w:rPr>
        <w:fldChar w:fldCharType="separate"/>
      </w:r>
      <w:r>
        <w:rPr>
          <w:rFonts w:hint="eastAsia" w:ascii="仿宋_GB2312" w:hAnsi="Times New Roman" w:eastAsia="仿宋_GB2312"/>
          <w:szCs w:val="32"/>
          <w:lang w:eastAsia="zh-CN"/>
        </w:rPr>
        <w:t>第</w:t>
      </w:r>
      <w:r>
        <w:rPr>
          <w:rFonts w:hint="eastAsia" w:ascii="仿宋_GB2312" w:hAnsi="Times New Roman" w:eastAsia="仿宋_GB2312"/>
          <w:szCs w:val="32"/>
          <w:lang w:val="en-US" w:eastAsia="zh-CN"/>
        </w:rPr>
        <w:t>六</w:t>
      </w:r>
      <w:r>
        <w:rPr>
          <w:rFonts w:hint="eastAsia" w:ascii="仿宋_GB2312" w:hAnsi="Times New Roman" w:eastAsia="仿宋_GB2312"/>
          <w:szCs w:val="32"/>
          <w:lang w:eastAsia="zh-CN"/>
        </w:rPr>
        <w:t xml:space="preserve">章 </w:t>
      </w:r>
      <w:r>
        <w:rPr>
          <w:rFonts w:hint="eastAsia" w:hAnsi="Times New Roman"/>
          <w:szCs w:val="32"/>
          <w:lang w:val="en-US" w:eastAsia="zh-CN"/>
        </w:rPr>
        <w:t xml:space="preserve"> </w:t>
      </w:r>
      <w:r>
        <w:rPr>
          <w:rFonts w:hint="eastAsia" w:ascii="仿宋_GB2312" w:hAnsi="Times New Roman" w:eastAsia="仿宋_GB2312"/>
          <w:szCs w:val="32"/>
        </w:rPr>
        <w:t>综合防灾规划</w:t>
      </w:r>
      <w:r>
        <w:tab/>
      </w:r>
      <w:r>
        <w:fldChar w:fldCharType="begin"/>
      </w:r>
      <w:r>
        <w:instrText xml:space="preserve"> PAGEREF _Toc30052 \h </w:instrText>
      </w:r>
      <w:r>
        <w:fldChar w:fldCharType="separate"/>
      </w:r>
      <w:r>
        <w:t>11</w:t>
      </w:r>
      <w:r>
        <w:fldChar w:fldCharType="end"/>
      </w:r>
      <w:r>
        <w:rPr>
          <w:rFonts w:hint="eastAsia" w:ascii="仿宋_GB2312" w:hAnsi="Times New Roman" w:eastAsia="仿宋_GB2312"/>
          <w:szCs w:val="24"/>
        </w:rPr>
        <w:fldChar w:fldCharType="end"/>
      </w:r>
    </w:p>
    <w:p>
      <w:pPr>
        <w:pStyle w:val="7"/>
        <w:tabs>
          <w:tab w:val="right" w:leader="dot" w:pos="8312"/>
          <w:tab w:val="clear" w:pos="8296"/>
        </w:tabs>
      </w:pPr>
      <w:r>
        <w:rPr>
          <w:rFonts w:hint="eastAsia" w:ascii="仿宋_GB2312" w:hAnsi="Times New Roman" w:eastAsia="仿宋_GB2312"/>
          <w:szCs w:val="24"/>
        </w:rPr>
        <w:fldChar w:fldCharType="begin"/>
      </w:r>
      <w:r>
        <w:rPr>
          <w:rFonts w:hint="eastAsia" w:ascii="仿宋_GB2312" w:hAnsi="Times New Roman" w:eastAsia="仿宋_GB2312"/>
          <w:szCs w:val="24"/>
        </w:rPr>
        <w:instrText xml:space="preserve"> HYPERLINK \l _Toc16733 </w:instrText>
      </w:r>
      <w:r>
        <w:rPr>
          <w:rFonts w:hint="eastAsia" w:ascii="仿宋_GB2312" w:hAnsi="Times New Roman" w:eastAsia="仿宋_GB2312"/>
          <w:szCs w:val="24"/>
        </w:rPr>
        <w:fldChar w:fldCharType="separate"/>
      </w:r>
      <w:r>
        <w:rPr>
          <w:rFonts w:hint="eastAsia" w:ascii="仿宋_GB2312" w:hAnsi="Times New Roman" w:eastAsia="仿宋_GB2312"/>
          <w:szCs w:val="32"/>
          <w:lang w:eastAsia="zh-CN"/>
        </w:rPr>
        <w:t>第</w:t>
      </w:r>
      <w:r>
        <w:rPr>
          <w:rFonts w:hint="eastAsia" w:ascii="仿宋_GB2312" w:hAnsi="Times New Roman" w:eastAsia="仿宋_GB2312"/>
          <w:szCs w:val="32"/>
          <w:lang w:val="en-US" w:eastAsia="zh-CN"/>
        </w:rPr>
        <w:t>七</w:t>
      </w:r>
      <w:r>
        <w:rPr>
          <w:rFonts w:hint="eastAsia" w:ascii="仿宋_GB2312" w:hAnsi="Times New Roman" w:eastAsia="仿宋_GB2312"/>
          <w:szCs w:val="32"/>
          <w:lang w:eastAsia="zh-CN"/>
        </w:rPr>
        <w:t xml:space="preserve">章 </w:t>
      </w:r>
      <w:r>
        <w:rPr>
          <w:rFonts w:hint="eastAsia" w:hAnsi="Times New Roman"/>
          <w:szCs w:val="32"/>
          <w:lang w:val="en-US" w:eastAsia="zh-CN"/>
        </w:rPr>
        <w:t xml:space="preserve"> </w:t>
      </w:r>
      <w:r>
        <w:rPr>
          <w:rFonts w:hint="eastAsia" w:ascii="仿宋_GB2312" w:hAnsi="Times New Roman" w:eastAsia="仿宋_GB2312"/>
          <w:szCs w:val="32"/>
        </w:rPr>
        <w:t>环境保护规划</w:t>
      </w:r>
      <w:r>
        <w:tab/>
      </w:r>
      <w:r>
        <w:fldChar w:fldCharType="begin"/>
      </w:r>
      <w:r>
        <w:instrText xml:space="preserve"> PAGEREF _Toc16733 \h </w:instrText>
      </w:r>
      <w:r>
        <w:fldChar w:fldCharType="separate"/>
      </w:r>
      <w:r>
        <w:t>13</w:t>
      </w:r>
      <w:r>
        <w:fldChar w:fldCharType="end"/>
      </w:r>
      <w:r>
        <w:rPr>
          <w:rFonts w:hint="eastAsia" w:ascii="仿宋_GB2312" w:hAnsi="Times New Roman" w:eastAsia="仿宋_GB2312"/>
          <w:szCs w:val="24"/>
        </w:rPr>
        <w:fldChar w:fldCharType="end"/>
      </w:r>
    </w:p>
    <w:p>
      <w:pPr>
        <w:pStyle w:val="2"/>
        <w:tabs>
          <w:tab w:val="left" w:pos="6663"/>
        </w:tabs>
        <w:spacing w:before="120" w:after="480" w:line="360" w:lineRule="auto"/>
        <w:jc w:val="center"/>
        <w:rPr>
          <w:rFonts w:ascii="仿宋_GB2312" w:hAnsi="Times New Roman" w:eastAsia="仿宋_GB2312"/>
          <w:sz w:val="24"/>
          <w:szCs w:val="24"/>
        </w:rPr>
        <w:sectPr>
          <w:headerReference r:id="rId3" w:type="default"/>
          <w:footerReference r:id="rId4" w:type="default"/>
          <w:pgSz w:w="11906" w:h="16838"/>
          <w:pgMar w:top="1440" w:right="1797" w:bottom="1440" w:left="1797" w:header="851" w:footer="992" w:gutter="0"/>
          <w:pgNumType w:fmt="upperRoman" w:start="1"/>
          <w:cols w:space="425" w:num="1"/>
          <w:docGrid w:type="lines" w:linePitch="312" w:charSpace="0"/>
        </w:sectPr>
      </w:pPr>
      <w:r>
        <w:rPr>
          <w:rFonts w:hint="eastAsia" w:ascii="仿宋_GB2312" w:hAnsi="Times New Roman" w:eastAsia="仿宋_GB2312"/>
          <w:szCs w:val="24"/>
        </w:rPr>
        <w:fldChar w:fldCharType="end"/>
      </w:r>
      <w:bookmarkEnd w:id="0"/>
    </w:p>
    <w:p>
      <w:pPr>
        <w:pStyle w:val="2"/>
        <w:tabs>
          <w:tab w:val="left" w:pos="6663"/>
        </w:tabs>
        <w:spacing w:before="120" w:after="480" w:line="360" w:lineRule="auto"/>
        <w:jc w:val="center"/>
        <w:rPr>
          <w:rFonts w:ascii="仿宋_GB2312" w:hAnsi="Times New Roman" w:eastAsia="仿宋_GB2312"/>
          <w:sz w:val="32"/>
          <w:szCs w:val="32"/>
        </w:rPr>
      </w:pPr>
      <w:bookmarkStart w:id="1" w:name="_Toc13739"/>
      <w:r>
        <w:rPr>
          <w:rFonts w:hint="eastAsia" w:ascii="仿宋_GB2312" w:hAnsi="Times New Roman" w:eastAsia="仿宋_GB2312"/>
          <w:sz w:val="32"/>
          <w:szCs w:val="32"/>
        </w:rPr>
        <w:t>第一章  总则</w:t>
      </w:r>
      <w:bookmarkEnd w:id="1"/>
    </w:p>
    <w:p>
      <w:pPr>
        <w:pStyle w:val="15"/>
        <w:widowControl w:val="0"/>
        <w:numPr>
          <w:ilvl w:val="0"/>
          <w:numId w:val="1"/>
        </w:numPr>
        <w:tabs>
          <w:tab w:val="left" w:pos="0"/>
        </w:tabs>
        <w:spacing w:before="156" w:beforeLines="50" w:afterLines="0"/>
        <w:ind w:left="0" w:firstLine="0"/>
        <w:rPr>
          <w:rFonts w:ascii="仿宋_GB2312" w:eastAsia="仿宋_GB2312" w:cs="Times New Roman"/>
          <w:b/>
        </w:rPr>
      </w:pPr>
      <w:r>
        <w:rPr>
          <w:rFonts w:hint="eastAsia" w:ascii="仿宋_GB2312" w:eastAsia="仿宋_GB2312" w:cs="Times New Roman"/>
          <w:b/>
        </w:rPr>
        <w:t>规划目标</w:t>
      </w:r>
    </w:p>
    <w:p>
      <w:pPr>
        <w:spacing w:line="360" w:lineRule="auto"/>
        <w:ind w:firstLine="480" w:firstLineChars="200"/>
        <w:rPr>
          <w:rFonts w:hint="default"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为了推动登塘镇工业提质发展，对现状工业用地编制控制性详细规划，指导其科学合理开发建设。2022年2月，登塘镇人民政府对扬美村现状工业用地开展工作，依据相关政策要求，向潮安区人民政府报告，要求对部分地块开展控制性详细规划编制工作。</w:t>
      </w:r>
    </w:p>
    <w:p>
      <w:pPr>
        <w:pStyle w:val="15"/>
        <w:widowControl w:val="0"/>
        <w:numPr>
          <w:ilvl w:val="0"/>
          <w:numId w:val="1"/>
        </w:numPr>
        <w:tabs>
          <w:tab w:val="left" w:pos="0"/>
        </w:tabs>
        <w:spacing w:before="156" w:beforeLines="50" w:afterLines="0"/>
        <w:ind w:left="0" w:firstLine="0"/>
        <w:rPr>
          <w:rFonts w:ascii="仿宋_GB2312" w:eastAsia="仿宋_GB2312" w:cs="Times New Roman"/>
          <w:b/>
        </w:rPr>
      </w:pPr>
      <w:r>
        <w:rPr>
          <w:rFonts w:hint="eastAsia" w:ascii="仿宋_GB2312" w:eastAsia="仿宋_GB2312" w:cs="Times New Roman"/>
          <w:b/>
        </w:rPr>
        <w:t>规划依据</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（一）法律、法规、规章及规范</w:t>
      </w:r>
    </w:p>
    <w:p>
      <w:pPr>
        <w:spacing w:line="360" w:lineRule="auto"/>
        <w:ind w:firstLine="600" w:firstLineChars="250"/>
        <w:rPr>
          <w:rFonts w:ascii="仿宋_GB2312" w:hAnsi="Times New Roman" w:eastAsia="仿宋_GB2312"/>
          <w:sz w:val="24"/>
          <w:szCs w:val="24"/>
        </w:rPr>
      </w:pPr>
      <w:r>
        <w:rPr>
          <w:rFonts w:hint="eastAsia" w:ascii="仿宋_GB2312" w:hAnsi="Times New Roman" w:eastAsia="仿宋_GB2312"/>
          <w:sz w:val="24"/>
          <w:szCs w:val="24"/>
        </w:rPr>
        <w:t>《中华人民共和国城乡规划法》（2019年修正）；</w:t>
      </w:r>
    </w:p>
    <w:p>
      <w:pPr>
        <w:spacing w:line="360" w:lineRule="auto"/>
        <w:ind w:firstLine="600" w:firstLineChars="250"/>
        <w:rPr>
          <w:rFonts w:ascii="仿宋_GB2312" w:hAnsi="Times New Roman" w:eastAsia="仿宋_GB2312"/>
          <w:sz w:val="24"/>
          <w:szCs w:val="24"/>
        </w:rPr>
      </w:pPr>
      <w:r>
        <w:rPr>
          <w:rFonts w:hint="eastAsia" w:ascii="仿宋_GB2312" w:hAnsi="Times New Roman" w:eastAsia="仿宋_GB2312"/>
          <w:sz w:val="24"/>
          <w:szCs w:val="24"/>
        </w:rPr>
        <w:t>《中华人民共和国土地管理法》（2019年修正）；</w:t>
      </w:r>
    </w:p>
    <w:p>
      <w:pPr>
        <w:spacing w:line="360" w:lineRule="auto"/>
        <w:ind w:firstLine="600" w:firstLineChars="250"/>
        <w:rPr>
          <w:rFonts w:ascii="仿宋_GB2312" w:hAnsi="Times New Roman" w:eastAsia="仿宋_GB2312"/>
          <w:sz w:val="24"/>
          <w:szCs w:val="24"/>
        </w:rPr>
      </w:pPr>
      <w:r>
        <w:rPr>
          <w:rFonts w:hint="eastAsia" w:ascii="仿宋_GB2312" w:hAnsi="Times New Roman" w:eastAsia="仿宋_GB2312"/>
          <w:sz w:val="24"/>
          <w:szCs w:val="24"/>
        </w:rPr>
        <w:t>《中华人民共和国环境保护法》（2015修订）；</w:t>
      </w:r>
    </w:p>
    <w:p>
      <w:pPr>
        <w:spacing w:line="360" w:lineRule="auto"/>
        <w:ind w:firstLine="600" w:firstLineChars="250"/>
        <w:rPr>
          <w:rFonts w:ascii="仿宋_GB2312" w:hAnsi="Times New Roman" w:eastAsia="仿宋_GB2312"/>
          <w:sz w:val="24"/>
          <w:szCs w:val="24"/>
        </w:rPr>
      </w:pPr>
      <w:r>
        <w:rPr>
          <w:rFonts w:hint="eastAsia" w:ascii="仿宋_GB2312" w:hAnsi="Times New Roman" w:eastAsia="仿宋_GB2312"/>
          <w:sz w:val="24"/>
          <w:szCs w:val="24"/>
        </w:rPr>
        <w:t>《城市规划编制办法》（2006）；</w:t>
      </w:r>
    </w:p>
    <w:p>
      <w:pPr>
        <w:spacing w:line="360" w:lineRule="auto"/>
        <w:ind w:firstLine="600" w:firstLineChars="250"/>
        <w:rPr>
          <w:rFonts w:ascii="仿宋_GB2312" w:hAnsi="Times New Roman" w:eastAsia="仿宋_GB2312"/>
          <w:sz w:val="24"/>
          <w:szCs w:val="24"/>
        </w:rPr>
      </w:pPr>
      <w:r>
        <w:rPr>
          <w:rFonts w:hint="eastAsia" w:ascii="仿宋_GB2312" w:hAnsi="Times New Roman" w:eastAsia="仿宋_GB2312"/>
          <w:sz w:val="24"/>
          <w:szCs w:val="24"/>
        </w:rPr>
        <w:t>《城市、镇控制性详细规划编制审批办法》（2010）；</w:t>
      </w:r>
    </w:p>
    <w:p>
      <w:pPr>
        <w:spacing w:line="360" w:lineRule="auto"/>
        <w:ind w:firstLine="600" w:firstLineChars="250"/>
        <w:rPr>
          <w:rFonts w:ascii="仿宋_GB2312" w:hAnsi="Times New Roman" w:eastAsia="仿宋_GB2312"/>
          <w:sz w:val="24"/>
          <w:szCs w:val="24"/>
        </w:rPr>
      </w:pPr>
      <w:r>
        <w:rPr>
          <w:rFonts w:hint="eastAsia" w:ascii="仿宋_GB2312" w:hAnsi="Times New Roman" w:eastAsia="仿宋_GB2312"/>
          <w:sz w:val="24"/>
          <w:szCs w:val="24"/>
        </w:rPr>
        <w:t>《建设用地容积率管理办法》（2012）；</w:t>
      </w:r>
    </w:p>
    <w:p>
      <w:pPr>
        <w:spacing w:line="360" w:lineRule="auto"/>
        <w:ind w:firstLine="600" w:firstLineChars="250"/>
        <w:rPr>
          <w:rFonts w:ascii="仿宋_GB2312" w:hAnsi="Times New Roman" w:eastAsia="仿宋_GB2312"/>
          <w:sz w:val="24"/>
          <w:szCs w:val="24"/>
        </w:rPr>
      </w:pPr>
      <w:r>
        <w:rPr>
          <w:rFonts w:hint="eastAsia" w:ascii="仿宋_GB2312" w:hAnsi="Times New Roman" w:eastAsia="仿宋_GB2312"/>
          <w:sz w:val="24"/>
          <w:szCs w:val="24"/>
        </w:rPr>
        <w:t>《城市用地分类与规划建设用地标准》（GB50137-2011）；</w:t>
      </w:r>
    </w:p>
    <w:p>
      <w:pPr>
        <w:spacing w:line="360" w:lineRule="auto"/>
        <w:ind w:firstLine="600" w:firstLineChars="250"/>
        <w:rPr>
          <w:rFonts w:ascii="仿宋_GB2312" w:hAnsi="Times New Roman" w:eastAsia="仿宋_GB2312"/>
          <w:sz w:val="24"/>
          <w:szCs w:val="24"/>
        </w:rPr>
      </w:pPr>
      <w:r>
        <w:rPr>
          <w:rFonts w:hint="eastAsia" w:ascii="仿宋_GB2312" w:hAnsi="Times New Roman" w:eastAsia="仿宋_GB2312"/>
          <w:sz w:val="24"/>
          <w:szCs w:val="24"/>
        </w:rPr>
        <w:t>《城市公共设施规划规范》（GB50442-2008）；</w:t>
      </w:r>
    </w:p>
    <w:p>
      <w:pPr>
        <w:spacing w:line="360" w:lineRule="auto"/>
        <w:ind w:firstLine="600" w:firstLineChars="250"/>
        <w:rPr>
          <w:rFonts w:ascii="仿宋_GB2312" w:hAnsi="Times New Roman" w:eastAsia="仿宋_GB2312"/>
          <w:sz w:val="24"/>
          <w:szCs w:val="24"/>
        </w:rPr>
      </w:pPr>
      <w:r>
        <w:rPr>
          <w:rFonts w:hint="eastAsia" w:ascii="仿宋_GB2312" w:hAnsi="Times New Roman" w:eastAsia="仿宋_GB2312"/>
          <w:sz w:val="24"/>
          <w:szCs w:val="24"/>
        </w:rPr>
        <w:t>《城市绿地设计规范》（GB50420-2007-2016年版）；</w:t>
      </w:r>
    </w:p>
    <w:p>
      <w:pPr>
        <w:spacing w:line="360" w:lineRule="auto"/>
        <w:ind w:firstLine="600" w:firstLineChars="250"/>
        <w:rPr>
          <w:rFonts w:ascii="仿宋_GB2312" w:hAnsi="Times New Roman" w:eastAsia="仿宋_GB2312"/>
          <w:sz w:val="24"/>
          <w:szCs w:val="24"/>
        </w:rPr>
      </w:pPr>
      <w:r>
        <w:rPr>
          <w:rFonts w:hint="eastAsia" w:ascii="仿宋_GB2312" w:hAnsi="Times New Roman" w:eastAsia="仿宋_GB2312"/>
          <w:sz w:val="24"/>
          <w:szCs w:val="24"/>
        </w:rPr>
        <w:t>《城市绿地分类标准（CJJ/T85—2017）》；</w:t>
      </w:r>
    </w:p>
    <w:p>
      <w:pPr>
        <w:spacing w:line="360" w:lineRule="auto"/>
        <w:ind w:firstLine="600" w:firstLineChars="250"/>
        <w:rPr>
          <w:rFonts w:ascii="仿宋_GB2312" w:hAnsi="Times New Roman" w:eastAsia="仿宋_GB2312"/>
          <w:sz w:val="24"/>
          <w:szCs w:val="24"/>
        </w:rPr>
      </w:pPr>
      <w:r>
        <w:rPr>
          <w:rFonts w:hint="eastAsia" w:ascii="仿宋_GB2312" w:hAnsi="Times New Roman" w:eastAsia="仿宋_GB2312"/>
          <w:sz w:val="24"/>
          <w:szCs w:val="24"/>
        </w:rPr>
        <w:t>《城市道路交通规划设计规范》（GB50220－95）；</w:t>
      </w:r>
    </w:p>
    <w:p>
      <w:pPr>
        <w:spacing w:line="360" w:lineRule="auto"/>
        <w:ind w:firstLine="600" w:firstLineChars="250"/>
        <w:rPr>
          <w:rFonts w:ascii="仿宋_GB2312" w:hAnsi="Times New Roman" w:eastAsia="仿宋_GB2312"/>
          <w:sz w:val="24"/>
          <w:szCs w:val="24"/>
        </w:rPr>
      </w:pPr>
      <w:r>
        <w:rPr>
          <w:rFonts w:hint="eastAsia" w:ascii="仿宋_GB2312" w:hAnsi="Times New Roman" w:eastAsia="仿宋_GB2312"/>
          <w:sz w:val="24"/>
          <w:szCs w:val="24"/>
        </w:rPr>
        <w:t>《城市停车规划规范》（GB/T51149-2016）；</w:t>
      </w:r>
    </w:p>
    <w:p>
      <w:pPr>
        <w:spacing w:line="360" w:lineRule="auto"/>
        <w:ind w:firstLine="600" w:firstLineChars="250"/>
        <w:rPr>
          <w:rFonts w:ascii="仿宋_GB2312" w:hAnsi="Times New Roman" w:eastAsia="仿宋_GB2312"/>
          <w:sz w:val="24"/>
          <w:szCs w:val="24"/>
        </w:rPr>
      </w:pPr>
      <w:r>
        <w:rPr>
          <w:rFonts w:hint="eastAsia" w:ascii="仿宋_GB2312" w:hAnsi="Times New Roman" w:eastAsia="仿宋_GB2312"/>
          <w:sz w:val="24"/>
          <w:szCs w:val="24"/>
        </w:rPr>
        <w:t>《广东省城乡规划条例》（2012）；</w:t>
      </w:r>
    </w:p>
    <w:p>
      <w:pPr>
        <w:spacing w:line="360" w:lineRule="auto"/>
        <w:ind w:firstLine="600" w:firstLineChars="250"/>
        <w:rPr>
          <w:rFonts w:ascii="仿宋_GB2312" w:hAnsi="Times New Roman" w:eastAsia="仿宋_GB2312"/>
          <w:sz w:val="24"/>
          <w:szCs w:val="24"/>
        </w:rPr>
      </w:pPr>
      <w:r>
        <w:rPr>
          <w:rFonts w:hint="eastAsia" w:ascii="仿宋_GB2312" w:hAnsi="Times New Roman" w:eastAsia="仿宋_GB2312"/>
          <w:sz w:val="24"/>
          <w:szCs w:val="24"/>
        </w:rPr>
        <w:t>《广东省城市控制性详细规划管理条例》（2014年修正）；</w:t>
      </w:r>
    </w:p>
    <w:p>
      <w:pPr>
        <w:spacing w:line="360" w:lineRule="auto"/>
        <w:ind w:firstLine="600" w:firstLineChars="250"/>
        <w:rPr>
          <w:rFonts w:ascii="仿宋_GB2312" w:hAnsi="Times New Roman" w:eastAsia="仿宋_GB2312"/>
          <w:sz w:val="24"/>
          <w:szCs w:val="24"/>
        </w:rPr>
      </w:pPr>
      <w:r>
        <w:rPr>
          <w:rFonts w:hint="eastAsia" w:ascii="仿宋_GB2312" w:hAnsi="Times New Roman" w:eastAsia="仿宋_GB2312"/>
          <w:sz w:val="24"/>
          <w:szCs w:val="24"/>
        </w:rPr>
        <w:t>《广东省城市控制性详细规划编制指引》（2007）；</w:t>
      </w:r>
    </w:p>
    <w:p>
      <w:pPr>
        <w:spacing w:line="360" w:lineRule="auto"/>
        <w:ind w:firstLine="600" w:firstLineChars="250"/>
        <w:rPr>
          <w:rFonts w:hint="eastAsia" w:ascii="仿宋_GB2312" w:hAnsi="Times New Roman" w:eastAsia="仿宋_GB2312"/>
          <w:sz w:val="24"/>
          <w:szCs w:val="24"/>
        </w:rPr>
      </w:pPr>
      <w:r>
        <w:rPr>
          <w:rFonts w:hint="eastAsia" w:ascii="仿宋_GB2312" w:hAnsi="Times New Roman" w:eastAsia="仿宋_GB2312"/>
          <w:sz w:val="24"/>
          <w:szCs w:val="24"/>
        </w:rPr>
        <w:t>《潮州市城乡规划管理技术规定（试行）（2017）》</w:t>
      </w:r>
    </w:p>
    <w:p>
      <w:pPr>
        <w:spacing w:line="360" w:lineRule="auto"/>
        <w:ind w:firstLine="600" w:firstLineChars="250"/>
        <w:rPr>
          <w:rFonts w:hint="eastAsia" w:ascii="仿宋_GB2312" w:hAnsi="Times New Roman" w:eastAsia="仿宋_GB2312"/>
          <w:sz w:val="24"/>
          <w:szCs w:val="24"/>
        </w:rPr>
      </w:pPr>
      <w:r>
        <w:rPr>
          <w:rFonts w:hint="eastAsia" w:ascii="仿宋_GB2312" w:hAnsi="Times New Roman" w:eastAsia="仿宋_GB2312"/>
          <w:sz w:val="24"/>
          <w:szCs w:val="24"/>
          <w:lang w:eastAsia="zh-CN"/>
        </w:rPr>
        <w:t>《</w:t>
      </w:r>
      <w:r>
        <w:rPr>
          <w:rFonts w:hint="eastAsia" w:ascii="仿宋_GB2312" w:hAnsi="Times New Roman" w:eastAsia="仿宋_GB2312"/>
          <w:sz w:val="24"/>
          <w:szCs w:val="24"/>
        </w:rPr>
        <w:t>潮州市控制性详细规划管理规定</w:t>
      </w:r>
      <w:r>
        <w:rPr>
          <w:rFonts w:hint="eastAsia" w:ascii="仿宋_GB2312" w:hAnsi="Times New Roman" w:eastAsia="仿宋_GB2312"/>
          <w:sz w:val="24"/>
          <w:szCs w:val="24"/>
          <w:lang w:eastAsia="zh-CN"/>
        </w:rPr>
        <w:t>》</w:t>
      </w:r>
      <w:r>
        <w:rPr>
          <w:rFonts w:hint="eastAsia" w:ascii="仿宋_GB2312" w:hAnsi="Times New Roman" w:eastAsia="仿宋_GB2312"/>
          <w:sz w:val="24"/>
          <w:szCs w:val="24"/>
        </w:rPr>
        <w:t>;</w:t>
      </w:r>
    </w:p>
    <w:p>
      <w:pPr>
        <w:spacing w:line="360" w:lineRule="auto"/>
        <w:ind w:firstLine="600" w:firstLineChars="250"/>
        <w:rPr>
          <w:rFonts w:ascii="仿宋_GB2312" w:hAnsi="Times New Roman" w:eastAsia="仿宋_GB2312"/>
          <w:sz w:val="24"/>
          <w:szCs w:val="24"/>
        </w:rPr>
      </w:pPr>
      <w:r>
        <w:rPr>
          <w:rFonts w:hint="eastAsia" w:ascii="仿宋_GB2312" w:hAnsi="Times New Roman" w:eastAsia="仿宋_GB2312"/>
          <w:sz w:val="24"/>
          <w:szCs w:val="24"/>
        </w:rPr>
        <w:t>国家、省、市其他有关的法律、法规、规划及规范性文件。</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（二）上层次及相关规划</w:t>
      </w:r>
    </w:p>
    <w:p>
      <w:pPr>
        <w:spacing w:line="360" w:lineRule="auto"/>
        <w:ind w:firstLine="600" w:firstLineChars="250"/>
        <w:rPr>
          <w:rFonts w:hint="eastAsia" w:ascii="仿宋_GB2312" w:hAnsi="Times New Roman" w:eastAsia="仿宋_GB2312"/>
          <w:sz w:val="24"/>
          <w:szCs w:val="24"/>
          <w:lang w:eastAsia="zh-CN"/>
        </w:rPr>
      </w:pPr>
      <w:r>
        <w:rPr>
          <w:rFonts w:hint="eastAsia" w:ascii="仿宋_GB2312" w:hAnsi="Times New Roman" w:eastAsia="仿宋_GB2312"/>
          <w:sz w:val="24"/>
          <w:szCs w:val="24"/>
        </w:rPr>
        <w:t>《潮州市城市总体规划（2015-2035）》</w:t>
      </w:r>
      <w:r>
        <w:rPr>
          <w:rFonts w:hint="eastAsia" w:ascii="仿宋_GB2312" w:hAnsi="Times New Roman" w:eastAsia="仿宋_GB2312"/>
          <w:sz w:val="24"/>
          <w:szCs w:val="24"/>
          <w:lang w:eastAsia="zh-CN"/>
        </w:rPr>
        <w:t>；</w:t>
      </w:r>
    </w:p>
    <w:p>
      <w:pPr>
        <w:spacing w:line="360" w:lineRule="auto"/>
        <w:ind w:firstLine="600" w:firstLineChars="250"/>
        <w:rPr>
          <w:rFonts w:hint="eastAsia" w:ascii="仿宋_GB2312" w:hAnsi="Times New Roman" w:eastAsia="仿宋_GB2312"/>
          <w:sz w:val="24"/>
          <w:szCs w:val="24"/>
          <w:lang w:eastAsia="zh-CN"/>
        </w:rPr>
      </w:pPr>
      <w:r>
        <w:rPr>
          <w:rFonts w:hint="eastAsia" w:ascii="仿宋_GB2312" w:hAnsi="Times New Roman" w:eastAsia="仿宋_GB2312"/>
          <w:sz w:val="24"/>
          <w:szCs w:val="24"/>
        </w:rPr>
        <w:t>《潮州市土地利用总体规划（2006-2020年）》中期调整完善</w:t>
      </w:r>
      <w:r>
        <w:rPr>
          <w:rFonts w:hint="eastAsia" w:ascii="仿宋_GB2312" w:hAnsi="Times New Roman" w:eastAsia="仿宋_GB2312"/>
          <w:sz w:val="24"/>
          <w:szCs w:val="24"/>
          <w:lang w:eastAsia="zh-CN"/>
        </w:rPr>
        <w:t>；</w:t>
      </w:r>
    </w:p>
    <w:p>
      <w:pPr>
        <w:spacing w:line="360" w:lineRule="auto"/>
        <w:ind w:firstLine="600" w:firstLineChars="250"/>
        <w:rPr>
          <w:rFonts w:ascii="仿宋_GB2312" w:hAnsi="Times New Roman" w:eastAsia="仿宋_GB2312"/>
          <w:sz w:val="24"/>
          <w:szCs w:val="24"/>
        </w:rPr>
      </w:pPr>
      <w:r>
        <w:rPr>
          <w:rFonts w:hint="eastAsia" w:ascii="仿宋_GB2312" w:hAnsi="Times New Roman" w:eastAsia="仿宋_GB2312"/>
          <w:sz w:val="24"/>
          <w:szCs w:val="24"/>
        </w:rPr>
        <w:t>其他相关专项规划及政策文件。</w:t>
      </w:r>
    </w:p>
    <w:p>
      <w:pPr>
        <w:pStyle w:val="15"/>
        <w:widowControl w:val="0"/>
        <w:numPr>
          <w:ilvl w:val="0"/>
          <w:numId w:val="1"/>
        </w:numPr>
        <w:tabs>
          <w:tab w:val="left" w:pos="0"/>
        </w:tabs>
        <w:spacing w:before="156" w:beforeLines="50" w:afterLines="0"/>
        <w:ind w:left="0" w:firstLine="0"/>
        <w:rPr>
          <w:rFonts w:ascii="仿宋_GB2312" w:eastAsia="仿宋_GB2312" w:cs="Times New Roman"/>
          <w:b/>
        </w:rPr>
      </w:pPr>
      <w:r>
        <w:rPr>
          <w:rFonts w:hint="eastAsia" w:ascii="仿宋_GB2312" w:eastAsia="仿宋_GB2312" w:cs="Times New Roman"/>
          <w:b/>
        </w:rPr>
        <w:t>规划原则</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（一）落实上层次及相关规划要求；</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（二）与区域发展相协调；</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（三）因地制宜，集约高效。</w:t>
      </w:r>
    </w:p>
    <w:p>
      <w:pPr>
        <w:pStyle w:val="15"/>
        <w:widowControl w:val="0"/>
        <w:numPr>
          <w:ilvl w:val="0"/>
          <w:numId w:val="1"/>
        </w:numPr>
        <w:tabs>
          <w:tab w:val="left" w:pos="0"/>
        </w:tabs>
        <w:spacing w:before="156" w:beforeLines="50" w:afterLines="0"/>
        <w:ind w:left="0" w:firstLine="0"/>
        <w:rPr>
          <w:rFonts w:ascii="仿宋_GB2312" w:eastAsia="仿宋_GB2312" w:cs="Times New Roman"/>
          <w:b/>
        </w:rPr>
      </w:pPr>
      <w:r>
        <w:rPr>
          <w:rFonts w:hint="eastAsia" w:ascii="仿宋_GB2312" w:eastAsia="仿宋_GB2312" w:cs="Times New Roman"/>
          <w:b/>
        </w:rPr>
        <w:t>规划范围</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本次</w:t>
      </w:r>
      <w:r>
        <w:rPr>
          <w:rFonts w:hint="eastAsia" w:ascii="仿宋_GB2312" w:hAnsi="Times New Roman" w:eastAsia="仿宋_GB2312"/>
          <w:sz w:val="24"/>
          <w:szCs w:val="24"/>
          <w:lang w:eastAsia="zh-CN"/>
        </w:rPr>
        <w:t>潮州市潮安区登塘镇扬美村南部工业区控制性详细规划</w:t>
      </w:r>
      <w:r>
        <w:rPr>
          <w:rFonts w:hint="eastAsia" w:ascii="仿宋_GB2312" w:hAnsi="Times New Roman" w:eastAsia="仿宋_GB2312"/>
          <w:sz w:val="24"/>
          <w:szCs w:val="24"/>
        </w:rPr>
        <w:t>范围为</w:t>
      </w:r>
      <w:r>
        <w:rPr>
          <w:rFonts w:hint="eastAsia" w:ascii="仿宋_GB2312" w:hAnsi="Times New Roman" w:eastAsia="仿宋_GB2312"/>
          <w:sz w:val="24"/>
          <w:szCs w:val="24"/>
          <w:lang w:val="en-US" w:eastAsia="zh-CN"/>
        </w:rPr>
        <w:t>潮安区登塘镇扬美村扬美路南部用地</w:t>
      </w:r>
      <w:r>
        <w:rPr>
          <w:rFonts w:hint="eastAsia" w:ascii="仿宋_GB2312" w:hAnsi="Times New Roman" w:eastAsia="仿宋_GB2312"/>
          <w:sz w:val="24"/>
          <w:szCs w:val="24"/>
        </w:rPr>
        <w:t xml:space="preserve">，总规划面积 </w:t>
      </w:r>
      <w:r>
        <w:rPr>
          <w:rFonts w:hint="eastAsia" w:ascii="仿宋_GB2312" w:hAnsi="Times New Roman" w:eastAsia="仿宋_GB2312"/>
          <w:sz w:val="24"/>
          <w:szCs w:val="24"/>
          <w:lang w:val="en-US" w:eastAsia="zh-CN"/>
        </w:rPr>
        <w:t>43806.48平方米</w:t>
      </w:r>
      <w:r>
        <w:rPr>
          <w:rFonts w:hint="eastAsia" w:ascii="仿宋_GB2312" w:hAnsi="Times New Roman" w:eastAsia="仿宋_GB2312"/>
          <w:sz w:val="24"/>
          <w:szCs w:val="24"/>
        </w:rPr>
        <w:t>。</w:t>
      </w:r>
    </w:p>
    <w:p>
      <w:pPr>
        <w:pStyle w:val="15"/>
        <w:widowControl w:val="0"/>
        <w:numPr>
          <w:ilvl w:val="0"/>
          <w:numId w:val="1"/>
        </w:numPr>
        <w:tabs>
          <w:tab w:val="left" w:pos="0"/>
        </w:tabs>
        <w:spacing w:before="156" w:beforeLines="50" w:afterLines="0"/>
        <w:ind w:left="0" w:firstLine="0"/>
        <w:rPr>
          <w:rFonts w:ascii="仿宋_GB2312" w:eastAsia="仿宋_GB2312" w:cs="Times New Roman"/>
          <w:b/>
        </w:rPr>
      </w:pPr>
      <w:r>
        <w:rPr>
          <w:rFonts w:hint="eastAsia" w:ascii="仿宋_GB2312" w:eastAsia="仿宋_GB2312" w:cs="Times New Roman"/>
          <w:b/>
        </w:rPr>
        <w:t>规划生效日期</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本规划经潮安区人民政府批准后，具有法律效力，在规划区内进行建设的任何单位及个人都有遵守本规划的义务。</w:t>
      </w:r>
    </w:p>
    <w:p>
      <w:pPr>
        <w:spacing w:line="360" w:lineRule="auto"/>
        <w:ind w:firstLine="480" w:firstLineChars="200"/>
        <w:rPr>
          <w:rFonts w:ascii="仿宋_GB2312" w:hAnsi="Times New Roman" w:eastAsia="仿宋_GB2312"/>
          <w:sz w:val="24"/>
          <w:szCs w:val="24"/>
        </w:rPr>
      </w:pPr>
    </w:p>
    <w:p>
      <w:pPr>
        <w:bidi w:val="0"/>
      </w:pPr>
      <w:r>
        <w:br w:type="page"/>
      </w:r>
    </w:p>
    <w:p>
      <w:pPr>
        <w:pStyle w:val="2"/>
        <w:spacing w:before="120" w:after="480" w:line="360" w:lineRule="auto"/>
        <w:jc w:val="center"/>
        <w:rPr>
          <w:rFonts w:ascii="仿宋_GB2312" w:hAnsi="Times New Roman" w:eastAsia="仿宋_GB2312"/>
          <w:sz w:val="32"/>
          <w:szCs w:val="32"/>
        </w:rPr>
      </w:pPr>
      <w:bookmarkStart w:id="2" w:name="_Toc10636"/>
      <w:r>
        <w:rPr>
          <w:rFonts w:hint="eastAsia" w:ascii="仿宋_GB2312" w:hAnsi="Times New Roman" w:eastAsia="仿宋_GB2312"/>
          <w:sz w:val="32"/>
          <w:szCs w:val="32"/>
        </w:rPr>
        <w:t>第二章  用地规模与布局</w:t>
      </w:r>
      <w:bookmarkEnd w:id="2"/>
    </w:p>
    <w:p>
      <w:pPr>
        <w:pStyle w:val="15"/>
        <w:widowControl w:val="0"/>
        <w:numPr>
          <w:ilvl w:val="0"/>
          <w:numId w:val="1"/>
        </w:numPr>
        <w:tabs>
          <w:tab w:val="left" w:pos="0"/>
        </w:tabs>
        <w:spacing w:before="156" w:beforeLines="50" w:afterLines="0"/>
        <w:ind w:left="0" w:firstLine="0"/>
        <w:rPr>
          <w:rFonts w:ascii="仿宋_GB2312" w:eastAsia="仿宋_GB2312" w:cs="Times New Roman"/>
          <w:b/>
        </w:rPr>
      </w:pPr>
      <w:r>
        <w:rPr>
          <w:rFonts w:hint="eastAsia" w:ascii="仿宋_GB2312" w:eastAsia="仿宋_GB2312" w:cs="Times New Roman"/>
          <w:b/>
        </w:rPr>
        <w:t>发展规模</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用地规模：规划区总建设用地面积</w:t>
      </w:r>
      <w:r>
        <w:rPr>
          <w:rFonts w:hint="eastAsia" w:ascii="仿宋_GB2312" w:hAnsi="Times New Roman" w:eastAsia="仿宋_GB2312"/>
          <w:sz w:val="24"/>
          <w:szCs w:val="24"/>
          <w:lang w:val="en-US" w:eastAsia="zh-CN"/>
        </w:rPr>
        <w:t>43806.48</w:t>
      </w:r>
      <w:r>
        <w:rPr>
          <w:rFonts w:hint="eastAsia" w:ascii="仿宋_GB2312" w:hAnsi="Times New Roman" w:eastAsia="仿宋_GB2312"/>
          <w:sz w:val="24"/>
          <w:szCs w:val="24"/>
          <w:lang w:eastAsia="zh-CN"/>
        </w:rPr>
        <w:t>平方米</w:t>
      </w:r>
      <w:r>
        <w:rPr>
          <w:rFonts w:hint="eastAsia" w:ascii="仿宋_GB2312" w:hAnsi="Times New Roman" w:eastAsia="仿宋_GB2312"/>
          <w:sz w:val="24"/>
          <w:szCs w:val="24"/>
        </w:rPr>
        <w:t>，都为城市建设用地。</w:t>
      </w:r>
    </w:p>
    <w:p>
      <w:pPr>
        <w:pStyle w:val="15"/>
        <w:widowControl w:val="0"/>
        <w:numPr>
          <w:ilvl w:val="0"/>
          <w:numId w:val="1"/>
        </w:numPr>
        <w:tabs>
          <w:tab w:val="left" w:pos="0"/>
        </w:tabs>
        <w:spacing w:before="156" w:beforeLines="50" w:afterLines="0"/>
        <w:ind w:left="0" w:firstLine="0"/>
        <w:rPr>
          <w:rFonts w:ascii="仿宋_GB2312" w:eastAsia="仿宋_GB2312" w:cs="Times New Roman"/>
          <w:b/>
        </w:rPr>
      </w:pPr>
      <w:r>
        <w:rPr>
          <w:rFonts w:hint="eastAsia" w:ascii="仿宋_GB2312" w:eastAsia="仿宋_GB2312" w:cs="Times New Roman"/>
          <w:b/>
        </w:rPr>
        <w:t>用地布局</w:t>
      </w:r>
    </w:p>
    <w:p>
      <w:pPr>
        <w:spacing w:line="360" w:lineRule="auto"/>
        <w:ind w:firstLine="480" w:firstLineChars="200"/>
        <w:rPr>
          <w:rFonts w:hint="eastAsia" w:ascii="仿宋_GB2312" w:hAnsi="Times New Roman" w:eastAsia="仿宋_GB2312"/>
          <w:sz w:val="24"/>
          <w:szCs w:val="24"/>
        </w:rPr>
      </w:pPr>
      <w:r>
        <w:rPr>
          <w:rFonts w:hint="eastAsia" w:ascii="仿宋_GB2312" w:hAnsi="Times New Roman" w:eastAsia="仿宋_GB2312"/>
          <w:sz w:val="24"/>
          <w:szCs w:val="24"/>
        </w:rPr>
        <w:t>规划区城市建设用地</w:t>
      </w:r>
      <w:r>
        <w:rPr>
          <w:rFonts w:hint="eastAsia" w:ascii="仿宋_GB2312" w:hAnsi="Times New Roman" w:eastAsia="仿宋_GB2312"/>
          <w:sz w:val="24"/>
          <w:szCs w:val="24"/>
          <w:lang w:val="en-US" w:eastAsia="zh-CN"/>
        </w:rPr>
        <w:t>43806.48</w:t>
      </w:r>
      <w:r>
        <w:rPr>
          <w:rFonts w:hint="eastAsia" w:ascii="仿宋_GB2312" w:hAnsi="Times New Roman" w:eastAsia="仿宋_GB2312"/>
          <w:sz w:val="24"/>
          <w:szCs w:val="24"/>
          <w:lang w:eastAsia="zh-CN"/>
        </w:rPr>
        <w:t>平方米</w:t>
      </w:r>
      <w:r>
        <w:rPr>
          <w:rFonts w:hint="eastAsia" w:ascii="仿宋_GB2312" w:hAnsi="Times New Roman" w:eastAsia="仿宋_GB2312"/>
          <w:sz w:val="24"/>
          <w:szCs w:val="24"/>
        </w:rPr>
        <w:t>，占总用地的</w:t>
      </w:r>
      <w:r>
        <w:rPr>
          <w:rFonts w:hint="eastAsia" w:ascii="仿宋_GB2312" w:hAnsi="Times New Roman" w:eastAsia="仿宋_GB2312"/>
          <w:sz w:val="24"/>
          <w:szCs w:val="24"/>
          <w:lang w:val="en-US" w:eastAsia="zh-CN"/>
        </w:rPr>
        <w:t>100</w:t>
      </w:r>
      <w:r>
        <w:rPr>
          <w:rFonts w:ascii="仿宋_GB2312" w:hAnsi="Times New Roman" w:eastAsia="仿宋_GB2312"/>
          <w:sz w:val="24"/>
          <w:szCs w:val="24"/>
        </w:rPr>
        <w:t>%</w:t>
      </w:r>
      <w:r>
        <w:rPr>
          <w:rFonts w:hint="eastAsia" w:ascii="仿宋_GB2312" w:hAnsi="Times New Roman" w:eastAsia="仿宋_GB2312"/>
          <w:sz w:val="24"/>
          <w:szCs w:val="24"/>
        </w:rPr>
        <w:t>。</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w:t>
      </w:r>
      <w:r>
        <w:rPr>
          <w:rFonts w:hint="eastAsia" w:ascii="仿宋_GB2312" w:hAnsi="Times New Roman" w:eastAsia="仿宋_GB2312"/>
          <w:sz w:val="24"/>
          <w:szCs w:val="24"/>
          <w:lang w:val="en-US" w:eastAsia="zh-CN"/>
        </w:rPr>
        <w:t>一</w:t>
      </w:r>
      <w:r>
        <w:rPr>
          <w:rFonts w:hint="eastAsia" w:ascii="仿宋_GB2312" w:hAnsi="Times New Roman" w:eastAsia="仿宋_GB2312"/>
          <w:sz w:val="24"/>
          <w:szCs w:val="24"/>
        </w:rPr>
        <w:t>）</w:t>
      </w:r>
      <w:r>
        <w:rPr>
          <w:rFonts w:hint="eastAsia" w:ascii="仿宋_GB2312" w:hAnsi="Times New Roman" w:eastAsia="仿宋_GB2312"/>
          <w:sz w:val="24"/>
          <w:szCs w:val="24"/>
          <w:lang w:val="en-US" w:eastAsia="zh-CN"/>
        </w:rPr>
        <w:t>工业用地</w:t>
      </w:r>
      <w:r>
        <w:rPr>
          <w:rFonts w:hint="eastAsia" w:ascii="仿宋_GB2312" w:hAnsi="Times New Roman" w:eastAsia="仿宋_GB2312"/>
          <w:sz w:val="24"/>
          <w:szCs w:val="24"/>
        </w:rPr>
        <w:t>（</w:t>
      </w:r>
      <w:r>
        <w:rPr>
          <w:rFonts w:hint="eastAsia" w:ascii="仿宋_GB2312" w:hAnsi="Times New Roman" w:eastAsia="仿宋_GB2312"/>
          <w:sz w:val="24"/>
          <w:szCs w:val="24"/>
          <w:lang w:val="en-US" w:eastAsia="zh-CN"/>
        </w:rPr>
        <w:t>M</w:t>
      </w:r>
      <w:r>
        <w:rPr>
          <w:rFonts w:hint="eastAsia" w:ascii="仿宋_GB2312" w:hAnsi="Times New Roman" w:eastAsia="仿宋_GB2312"/>
          <w:sz w:val="24"/>
          <w:szCs w:val="24"/>
        </w:rPr>
        <w:t>）</w:t>
      </w:r>
    </w:p>
    <w:p>
      <w:pPr>
        <w:spacing w:line="360" w:lineRule="auto"/>
        <w:ind w:firstLine="480" w:firstLineChars="200"/>
        <w:rPr>
          <w:rFonts w:hint="eastAsia" w:ascii="仿宋_GB2312" w:hAnsi="Times New Roman" w:eastAsia="仿宋_GB2312"/>
          <w:sz w:val="24"/>
          <w:szCs w:val="24"/>
        </w:rPr>
      </w:pPr>
      <w:r>
        <w:rPr>
          <w:rFonts w:hint="eastAsia" w:ascii="仿宋_GB2312" w:hAnsi="Times New Roman" w:eastAsia="仿宋_GB2312"/>
          <w:sz w:val="24"/>
          <w:szCs w:val="24"/>
        </w:rPr>
        <w:t>规划</w:t>
      </w:r>
      <w:r>
        <w:rPr>
          <w:rFonts w:hint="eastAsia" w:ascii="仿宋_GB2312" w:hAnsi="Times New Roman" w:eastAsia="仿宋_GB2312"/>
          <w:sz w:val="24"/>
          <w:szCs w:val="24"/>
          <w:lang w:val="en-US" w:eastAsia="zh-CN"/>
        </w:rPr>
        <w:t>工业</w:t>
      </w:r>
      <w:r>
        <w:rPr>
          <w:rFonts w:hint="eastAsia" w:ascii="仿宋_GB2312" w:hAnsi="Times New Roman" w:eastAsia="仿宋_GB2312"/>
          <w:sz w:val="24"/>
          <w:szCs w:val="24"/>
        </w:rPr>
        <w:t>用地</w:t>
      </w:r>
      <w:r>
        <w:rPr>
          <w:rFonts w:hint="eastAsia" w:ascii="仿宋_GB2312" w:hAnsi="Times New Roman" w:eastAsia="仿宋_GB2312"/>
          <w:sz w:val="24"/>
          <w:szCs w:val="24"/>
          <w:lang w:val="en-US" w:eastAsia="zh-CN"/>
        </w:rPr>
        <w:t>41373.72</w:t>
      </w:r>
      <w:r>
        <w:rPr>
          <w:rFonts w:hint="eastAsia" w:ascii="仿宋_GB2312" w:hAnsi="Times New Roman" w:eastAsia="仿宋_GB2312"/>
          <w:sz w:val="24"/>
          <w:szCs w:val="24"/>
          <w:lang w:eastAsia="zh-CN"/>
        </w:rPr>
        <w:t>平方米</w:t>
      </w:r>
      <w:r>
        <w:rPr>
          <w:rFonts w:hint="eastAsia" w:ascii="仿宋_GB2312" w:hAnsi="Times New Roman" w:eastAsia="仿宋_GB2312"/>
          <w:sz w:val="24"/>
          <w:szCs w:val="24"/>
        </w:rPr>
        <w:t>，占城市建设用地的</w:t>
      </w:r>
      <w:r>
        <w:rPr>
          <w:rFonts w:hint="eastAsia" w:ascii="仿宋_GB2312" w:hAnsi="Times New Roman" w:eastAsia="仿宋_GB2312"/>
          <w:sz w:val="24"/>
          <w:szCs w:val="24"/>
          <w:lang w:val="en-US" w:eastAsia="zh-CN"/>
        </w:rPr>
        <w:t>94.45</w:t>
      </w:r>
      <w:r>
        <w:rPr>
          <w:rFonts w:ascii="仿宋_GB2312" w:hAnsi="Times New Roman" w:eastAsia="仿宋_GB2312"/>
          <w:sz w:val="24"/>
          <w:szCs w:val="24"/>
        </w:rPr>
        <w:t>%</w:t>
      </w:r>
      <w:r>
        <w:rPr>
          <w:rFonts w:hint="eastAsia" w:ascii="仿宋_GB2312" w:hAnsi="Times New Roman" w:eastAsia="仿宋_GB2312"/>
          <w:sz w:val="24"/>
          <w:szCs w:val="24"/>
        </w:rPr>
        <w:t>。</w:t>
      </w:r>
      <w:r>
        <w:rPr>
          <w:rFonts w:hint="eastAsia" w:ascii="仿宋_GB2312" w:hAnsi="Times New Roman" w:eastAsia="仿宋_GB2312"/>
          <w:sz w:val="24"/>
          <w:szCs w:val="24"/>
          <w:lang w:val="en-US" w:eastAsia="zh-CN"/>
        </w:rPr>
        <w:t>其土地利用性质为</w:t>
      </w:r>
      <w:r>
        <w:rPr>
          <w:rFonts w:hint="eastAsia" w:ascii="仿宋_GB2312" w:hAnsi="Times New Roman" w:eastAsia="仿宋_GB2312"/>
          <w:sz w:val="24"/>
          <w:szCs w:val="24"/>
        </w:rPr>
        <w:t>城市</w:t>
      </w:r>
      <w:r>
        <w:rPr>
          <w:rFonts w:hint="eastAsia" w:ascii="仿宋_GB2312" w:hAnsi="Times New Roman" w:eastAsia="仿宋_GB2312"/>
          <w:sz w:val="24"/>
          <w:szCs w:val="24"/>
          <w:lang w:val="en-US" w:eastAsia="zh-CN"/>
        </w:rPr>
        <w:t>二类工业</w:t>
      </w:r>
      <w:r>
        <w:rPr>
          <w:rFonts w:hint="eastAsia" w:ascii="仿宋_GB2312" w:hAnsi="Times New Roman" w:eastAsia="仿宋_GB2312"/>
          <w:sz w:val="24"/>
          <w:szCs w:val="24"/>
        </w:rPr>
        <w:t>用地。</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w:t>
      </w:r>
      <w:r>
        <w:rPr>
          <w:rFonts w:hint="eastAsia" w:ascii="仿宋_GB2312" w:hAnsi="Times New Roman" w:eastAsia="仿宋_GB2312"/>
          <w:sz w:val="24"/>
          <w:szCs w:val="24"/>
          <w:lang w:val="en-US" w:eastAsia="zh-CN"/>
        </w:rPr>
        <w:t>二</w:t>
      </w:r>
      <w:r>
        <w:rPr>
          <w:rFonts w:hint="eastAsia" w:ascii="仿宋_GB2312" w:hAnsi="Times New Roman" w:eastAsia="仿宋_GB2312"/>
          <w:sz w:val="24"/>
          <w:szCs w:val="24"/>
        </w:rPr>
        <w:t>）道路与交通设施用地（S）</w:t>
      </w:r>
    </w:p>
    <w:p>
      <w:pPr>
        <w:spacing w:line="360" w:lineRule="auto"/>
        <w:ind w:firstLine="480" w:firstLineChars="200"/>
        <w:rPr>
          <w:rFonts w:hint="eastAsia" w:ascii="仿宋_GB2312" w:hAnsi="Times New Roman" w:eastAsia="仿宋_GB2312"/>
          <w:sz w:val="24"/>
          <w:szCs w:val="24"/>
        </w:rPr>
      </w:pPr>
      <w:r>
        <w:rPr>
          <w:rFonts w:hint="eastAsia" w:ascii="仿宋_GB2312" w:hAnsi="Times New Roman" w:eastAsia="仿宋_GB2312"/>
          <w:sz w:val="24"/>
          <w:szCs w:val="24"/>
        </w:rPr>
        <w:t>规划道路与交通设施用地</w:t>
      </w:r>
      <w:r>
        <w:rPr>
          <w:rFonts w:hint="eastAsia" w:ascii="仿宋_GB2312" w:hAnsi="Times New Roman" w:eastAsia="仿宋_GB2312"/>
          <w:sz w:val="24"/>
          <w:szCs w:val="24"/>
          <w:lang w:val="en-US" w:eastAsia="zh-CN"/>
        </w:rPr>
        <w:t>2432.76</w:t>
      </w:r>
      <w:r>
        <w:rPr>
          <w:rFonts w:hint="eastAsia" w:ascii="仿宋_GB2312" w:hAnsi="Times New Roman" w:eastAsia="仿宋_GB2312"/>
          <w:sz w:val="24"/>
          <w:szCs w:val="24"/>
          <w:lang w:eastAsia="zh-CN"/>
        </w:rPr>
        <w:t>平方米</w:t>
      </w:r>
      <w:r>
        <w:rPr>
          <w:rFonts w:hint="eastAsia" w:ascii="仿宋_GB2312" w:hAnsi="Times New Roman" w:eastAsia="仿宋_GB2312"/>
          <w:sz w:val="24"/>
          <w:szCs w:val="24"/>
        </w:rPr>
        <w:t>，占城市建设用地的</w:t>
      </w:r>
      <w:r>
        <w:rPr>
          <w:rFonts w:hint="eastAsia" w:ascii="仿宋_GB2312" w:hAnsi="Times New Roman" w:eastAsia="仿宋_GB2312"/>
          <w:sz w:val="24"/>
          <w:szCs w:val="24"/>
          <w:lang w:val="en-US" w:eastAsia="zh-CN"/>
        </w:rPr>
        <w:t>5.55</w:t>
      </w:r>
      <w:r>
        <w:rPr>
          <w:rFonts w:ascii="仿宋_GB2312" w:hAnsi="Times New Roman" w:eastAsia="仿宋_GB2312"/>
          <w:sz w:val="24"/>
          <w:szCs w:val="24"/>
        </w:rPr>
        <w:t>%</w:t>
      </w:r>
      <w:r>
        <w:rPr>
          <w:rFonts w:hint="eastAsia" w:ascii="仿宋_GB2312" w:hAnsi="Times New Roman" w:eastAsia="仿宋_GB2312"/>
          <w:sz w:val="24"/>
          <w:szCs w:val="24"/>
        </w:rPr>
        <w:t>。</w:t>
      </w:r>
      <w:r>
        <w:rPr>
          <w:rFonts w:hint="eastAsia" w:ascii="仿宋_GB2312" w:hAnsi="Times New Roman" w:eastAsia="仿宋_GB2312"/>
          <w:sz w:val="24"/>
          <w:szCs w:val="24"/>
          <w:lang w:val="en-US" w:eastAsia="zh-CN"/>
        </w:rPr>
        <w:t>其土地利用性质为</w:t>
      </w:r>
      <w:r>
        <w:rPr>
          <w:rFonts w:hint="eastAsia" w:ascii="仿宋_GB2312" w:hAnsi="Times New Roman" w:eastAsia="仿宋_GB2312"/>
          <w:sz w:val="24"/>
          <w:szCs w:val="24"/>
        </w:rPr>
        <w:t>城市道路用地。</w:t>
      </w:r>
    </w:p>
    <w:p>
      <w:pPr>
        <w:spacing w:line="360" w:lineRule="auto"/>
        <w:ind w:firstLine="480" w:firstLineChars="200"/>
        <w:jc w:val="center"/>
        <w:rPr>
          <w:rFonts w:ascii="仿宋_GB2312" w:hAnsi="Times New Roman" w:eastAsia="仿宋_GB2312"/>
          <w:sz w:val="24"/>
          <w:szCs w:val="24"/>
        </w:rPr>
      </w:pPr>
      <w:r>
        <w:rPr>
          <w:rFonts w:hint="eastAsia" w:ascii="仿宋_GB2312" w:hAnsi="Times New Roman" w:eastAsia="仿宋_GB2312"/>
          <w:sz w:val="24"/>
          <w:szCs w:val="24"/>
        </w:rPr>
        <w:t>表2-1：规划用地平衡表</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
        <w:gridCol w:w="614"/>
        <w:gridCol w:w="1165"/>
        <w:gridCol w:w="1893"/>
        <w:gridCol w:w="1204"/>
        <w:gridCol w:w="1851"/>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35" w:type="pct"/>
            <w:vMerge w:val="restart"/>
            <w:shd w:val="clear" w:color="auto" w:fill="auto"/>
            <w:noWrap/>
            <w:vAlign w:val="center"/>
          </w:tcPr>
          <w:p>
            <w:pPr>
              <w:widowControl/>
              <w:jc w:val="center"/>
              <w:rPr>
                <w:rFonts w:cs="宋体" w:asciiTheme="minorEastAsia" w:hAnsiTheme="minorEastAsia"/>
                <w:color w:val="000000" w:themeColor="text1"/>
                <w:kern w:val="0"/>
                <w:sz w:val="18"/>
                <w:szCs w:val="24"/>
                <w14:textFill>
                  <w14:solidFill>
                    <w14:schemeClr w14:val="tx1"/>
                  </w14:solidFill>
                </w14:textFill>
              </w:rPr>
            </w:pPr>
            <w:r>
              <w:rPr>
                <w:rFonts w:hint="eastAsia" w:cs="宋体" w:asciiTheme="minorEastAsia" w:hAnsiTheme="minorEastAsia"/>
                <w:color w:val="000000" w:themeColor="text1"/>
                <w:kern w:val="0"/>
                <w:sz w:val="18"/>
                <w:szCs w:val="24"/>
                <w14:textFill>
                  <w14:solidFill>
                    <w14:schemeClr w14:val="tx1"/>
                  </w14:solidFill>
                </w14:textFill>
              </w:rPr>
              <w:t>城市建设用地　</w:t>
            </w:r>
          </w:p>
        </w:tc>
        <w:tc>
          <w:tcPr>
            <w:tcW w:w="1043" w:type="pct"/>
            <w:gridSpan w:val="2"/>
            <w:shd w:val="clear" w:color="auto" w:fill="auto"/>
            <w:noWrap/>
            <w:vAlign w:val="center"/>
          </w:tcPr>
          <w:p>
            <w:pPr>
              <w:widowControl/>
              <w:jc w:val="center"/>
              <w:rPr>
                <w:rFonts w:cs="宋体" w:asciiTheme="minorEastAsia" w:hAnsiTheme="minorEastAsia"/>
                <w:color w:val="000000" w:themeColor="text1"/>
                <w:kern w:val="0"/>
                <w:sz w:val="18"/>
                <w:szCs w:val="24"/>
                <w14:textFill>
                  <w14:solidFill>
                    <w14:schemeClr w14:val="tx1"/>
                  </w14:solidFill>
                </w14:textFill>
              </w:rPr>
            </w:pPr>
            <w:r>
              <w:rPr>
                <w:rFonts w:hint="eastAsia" w:cs="宋体" w:asciiTheme="minorEastAsia" w:hAnsiTheme="minorEastAsia"/>
                <w:color w:val="000000" w:themeColor="text1"/>
                <w:kern w:val="0"/>
                <w:sz w:val="18"/>
                <w:szCs w:val="24"/>
                <w14:textFill>
                  <w14:solidFill>
                    <w14:schemeClr w14:val="tx1"/>
                  </w14:solidFill>
                </w14:textFill>
              </w:rPr>
              <w:t>用地代码</w:t>
            </w:r>
          </w:p>
        </w:tc>
        <w:tc>
          <w:tcPr>
            <w:tcW w:w="1109" w:type="pct"/>
            <w:vMerge w:val="restart"/>
            <w:shd w:val="clear" w:color="auto" w:fill="auto"/>
            <w:noWrap/>
            <w:vAlign w:val="center"/>
          </w:tcPr>
          <w:p>
            <w:pPr>
              <w:widowControl/>
              <w:jc w:val="center"/>
              <w:rPr>
                <w:rFonts w:cs="宋体" w:asciiTheme="minorEastAsia" w:hAnsiTheme="minorEastAsia"/>
                <w:color w:val="000000" w:themeColor="text1"/>
                <w:kern w:val="0"/>
                <w:sz w:val="18"/>
                <w:szCs w:val="24"/>
                <w14:textFill>
                  <w14:solidFill>
                    <w14:schemeClr w14:val="tx1"/>
                  </w14:solidFill>
                </w14:textFill>
              </w:rPr>
            </w:pPr>
            <w:r>
              <w:rPr>
                <w:rFonts w:hint="eastAsia" w:cs="宋体" w:asciiTheme="minorEastAsia" w:hAnsiTheme="minorEastAsia"/>
                <w:color w:val="000000" w:themeColor="text1"/>
                <w:kern w:val="0"/>
                <w:sz w:val="18"/>
                <w:szCs w:val="24"/>
                <w14:textFill>
                  <w14:solidFill>
                    <w14:schemeClr w14:val="tx1"/>
                  </w14:solidFill>
                </w14:textFill>
              </w:rPr>
              <w:t>用地名称</w:t>
            </w:r>
          </w:p>
        </w:tc>
        <w:tc>
          <w:tcPr>
            <w:tcW w:w="705" w:type="pct"/>
            <w:vMerge w:val="restart"/>
            <w:shd w:val="clear" w:color="auto" w:fill="auto"/>
            <w:noWrap/>
            <w:vAlign w:val="center"/>
          </w:tcPr>
          <w:p>
            <w:pPr>
              <w:widowControl/>
              <w:jc w:val="center"/>
              <w:rPr>
                <w:rFonts w:cs="宋体" w:asciiTheme="minorEastAsia" w:hAnsiTheme="minorEastAsia"/>
                <w:color w:val="000000" w:themeColor="text1"/>
                <w:kern w:val="0"/>
                <w:sz w:val="18"/>
                <w:szCs w:val="24"/>
                <w14:textFill>
                  <w14:solidFill>
                    <w14:schemeClr w14:val="tx1"/>
                  </w14:solidFill>
                </w14:textFill>
              </w:rPr>
            </w:pPr>
            <w:r>
              <w:rPr>
                <w:rFonts w:hint="eastAsia" w:cs="宋体" w:asciiTheme="minorEastAsia" w:hAnsiTheme="minorEastAsia"/>
                <w:color w:val="000000" w:themeColor="text1"/>
                <w:kern w:val="0"/>
                <w:sz w:val="18"/>
                <w:szCs w:val="24"/>
                <w14:textFill>
                  <w14:solidFill>
                    <w14:schemeClr w14:val="tx1"/>
                  </w14:solidFill>
                </w14:textFill>
              </w:rPr>
              <w:t>用地面积（</w:t>
            </w:r>
            <w:r>
              <w:rPr>
                <w:rFonts w:hint="eastAsia" w:cs="宋体" w:asciiTheme="minorEastAsia" w:hAnsiTheme="minorEastAsia"/>
                <w:color w:val="000000" w:themeColor="text1"/>
                <w:kern w:val="0"/>
                <w:sz w:val="18"/>
                <w:szCs w:val="24"/>
                <w:lang w:val="en-US" w:eastAsia="zh-CN"/>
                <w14:textFill>
                  <w14:solidFill>
                    <w14:schemeClr w14:val="tx1"/>
                  </w14:solidFill>
                </w14:textFill>
              </w:rPr>
              <w:t>㎡</w:t>
            </w:r>
            <w:r>
              <w:rPr>
                <w:rFonts w:cs="宋体" w:asciiTheme="minorEastAsia" w:hAnsiTheme="minorEastAsia"/>
                <w:color w:val="000000" w:themeColor="text1"/>
                <w:kern w:val="0"/>
                <w:sz w:val="18"/>
                <w:szCs w:val="24"/>
                <w14:textFill>
                  <w14:solidFill>
                    <w14:schemeClr w14:val="tx1"/>
                  </w14:solidFill>
                </w14:textFill>
              </w:rPr>
              <w:t>）</w:t>
            </w:r>
          </w:p>
        </w:tc>
        <w:tc>
          <w:tcPr>
            <w:tcW w:w="1085" w:type="pct"/>
            <w:vMerge w:val="restart"/>
            <w:shd w:val="clear" w:color="auto" w:fill="auto"/>
            <w:noWrap/>
            <w:vAlign w:val="center"/>
          </w:tcPr>
          <w:p>
            <w:pPr>
              <w:widowControl/>
              <w:jc w:val="center"/>
              <w:rPr>
                <w:rFonts w:cs="宋体" w:asciiTheme="minorEastAsia" w:hAnsiTheme="minorEastAsia"/>
                <w:color w:val="000000" w:themeColor="text1"/>
                <w:kern w:val="0"/>
                <w:sz w:val="18"/>
                <w:szCs w:val="24"/>
                <w14:textFill>
                  <w14:solidFill>
                    <w14:schemeClr w14:val="tx1"/>
                  </w14:solidFill>
                </w14:textFill>
              </w:rPr>
            </w:pPr>
            <w:r>
              <w:rPr>
                <w:rFonts w:hint="eastAsia" w:cs="宋体" w:asciiTheme="minorEastAsia" w:hAnsiTheme="minorEastAsia"/>
                <w:color w:val="000000" w:themeColor="text1"/>
                <w:kern w:val="0"/>
                <w:sz w:val="18"/>
                <w:szCs w:val="24"/>
                <w14:textFill>
                  <w14:solidFill>
                    <w14:schemeClr w14:val="tx1"/>
                  </w14:solidFill>
                </w14:textFill>
              </w:rPr>
              <w:t>占城市建设用地比例</w:t>
            </w:r>
          </w:p>
        </w:tc>
        <w:tc>
          <w:tcPr>
            <w:tcW w:w="820" w:type="pct"/>
            <w:vMerge w:val="restart"/>
            <w:shd w:val="clear" w:color="auto" w:fill="auto"/>
            <w:noWrap/>
            <w:vAlign w:val="center"/>
          </w:tcPr>
          <w:p>
            <w:pPr>
              <w:widowControl/>
              <w:jc w:val="center"/>
              <w:rPr>
                <w:rFonts w:cs="宋体" w:asciiTheme="minorEastAsia" w:hAnsiTheme="minorEastAsia"/>
                <w:color w:val="000000" w:themeColor="text1"/>
                <w:kern w:val="0"/>
                <w:sz w:val="18"/>
                <w:szCs w:val="24"/>
                <w14:textFill>
                  <w14:solidFill>
                    <w14:schemeClr w14:val="tx1"/>
                  </w14:solidFill>
                </w14:textFill>
              </w:rPr>
            </w:pPr>
            <w:r>
              <w:rPr>
                <w:rFonts w:hint="eastAsia" w:cs="宋体" w:asciiTheme="minorEastAsia" w:hAnsiTheme="minorEastAsia"/>
                <w:color w:val="000000" w:themeColor="text1"/>
                <w:kern w:val="0"/>
                <w:sz w:val="18"/>
                <w:szCs w:val="24"/>
                <w14:textFill>
                  <w14:solidFill>
                    <w14:schemeClr w14:val="tx1"/>
                  </w14:solidFill>
                </w14:textFill>
              </w:rPr>
              <w:t>占总用地比例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35" w:type="pct"/>
            <w:vMerge w:val="continue"/>
            <w:vAlign w:val="center"/>
          </w:tcPr>
          <w:p>
            <w:pPr>
              <w:widowControl/>
              <w:jc w:val="left"/>
              <w:rPr>
                <w:rFonts w:cs="宋体" w:asciiTheme="minorEastAsia" w:hAnsiTheme="minorEastAsia"/>
                <w:color w:val="000000" w:themeColor="text1"/>
                <w:kern w:val="0"/>
                <w:sz w:val="18"/>
                <w:szCs w:val="24"/>
                <w14:textFill>
                  <w14:solidFill>
                    <w14:schemeClr w14:val="tx1"/>
                  </w14:solidFill>
                </w14:textFill>
              </w:rPr>
            </w:pPr>
          </w:p>
        </w:tc>
        <w:tc>
          <w:tcPr>
            <w:tcW w:w="359" w:type="pct"/>
            <w:shd w:val="clear" w:color="auto" w:fill="auto"/>
            <w:noWrap/>
            <w:vAlign w:val="center"/>
          </w:tcPr>
          <w:p>
            <w:pPr>
              <w:widowControl/>
              <w:jc w:val="center"/>
              <w:rPr>
                <w:rFonts w:cs="宋体" w:asciiTheme="minorEastAsia" w:hAnsiTheme="minorEastAsia"/>
                <w:color w:val="000000" w:themeColor="text1"/>
                <w:kern w:val="0"/>
                <w:sz w:val="18"/>
                <w:szCs w:val="24"/>
                <w14:textFill>
                  <w14:solidFill>
                    <w14:schemeClr w14:val="tx1"/>
                  </w14:solidFill>
                </w14:textFill>
              </w:rPr>
            </w:pPr>
            <w:r>
              <w:rPr>
                <w:rFonts w:hint="eastAsia" w:cs="宋体" w:asciiTheme="minorEastAsia" w:hAnsiTheme="minorEastAsia"/>
                <w:color w:val="000000" w:themeColor="text1"/>
                <w:kern w:val="0"/>
                <w:sz w:val="18"/>
                <w:szCs w:val="24"/>
                <w14:textFill>
                  <w14:solidFill>
                    <w14:schemeClr w14:val="tx1"/>
                  </w14:solidFill>
                </w14:textFill>
              </w:rPr>
              <w:t>大类</w:t>
            </w:r>
          </w:p>
        </w:tc>
        <w:tc>
          <w:tcPr>
            <w:tcW w:w="683" w:type="pct"/>
            <w:shd w:val="clear" w:color="auto" w:fill="auto"/>
            <w:noWrap/>
            <w:vAlign w:val="center"/>
          </w:tcPr>
          <w:p>
            <w:pPr>
              <w:widowControl/>
              <w:jc w:val="center"/>
              <w:rPr>
                <w:rFonts w:cs="宋体" w:asciiTheme="minorEastAsia" w:hAnsiTheme="minorEastAsia"/>
                <w:color w:val="000000" w:themeColor="text1"/>
                <w:kern w:val="0"/>
                <w:sz w:val="18"/>
                <w:szCs w:val="24"/>
                <w14:textFill>
                  <w14:solidFill>
                    <w14:schemeClr w14:val="tx1"/>
                  </w14:solidFill>
                </w14:textFill>
              </w:rPr>
            </w:pPr>
            <w:r>
              <w:rPr>
                <w:rFonts w:hint="eastAsia" w:cs="宋体" w:asciiTheme="minorEastAsia" w:hAnsiTheme="minorEastAsia"/>
                <w:color w:val="000000" w:themeColor="text1"/>
                <w:kern w:val="0"/>
                <w:sz w:val="18"/>
                <w:szCs w:val="24"/>
                <w14:textFill>
                  <w14:solidFill>
                    <w14:schemeClr w14:val="tx1"/>
                  </w14:solidFill>
                </w14:textFill>
              </w:rPr>
              <w:t>中类</w:t>
            </w:r>
            <w:r>
              <w:rPr>
                <w:rFonts w:cs="宋体" w:asciiTheme="minorEastAsia" w:hAnsiTheme="minorEastAsia"/>
                <w:color w:val="000000" w:themeColor="text1"/>
                <w:kern w:val="0"/>
                <w:sz w:val="18"/>
                <w:szCs w:val="24"/>
                <w14:textFill>
                  <w14:solidFill>
                    <w14:schemeClr w14:val="tx1"/>
                  </w14:solidFill>
                </w14:textFill>
              </w:rPr>
              <w:t>/小类</w:t>
            </w:r>
          </w:p>
        </w:tc>
        <w:tc>
          <w:tcPr>
            <w:tcW w:w="1109" w:type="pct"/>
            <w:vMerge w:val="continue"/>
            <w:vAlign w:val="center"/>
          </w:tcPr>
          <w:p>
            <w:pPr>
              <w:widowControl/>
              <w:jc w:val="left"/>
              <w:rPr>
                <w:rFonts w:cs="宋体" w:asciiTheme="minorEastAsia" w:hAnsiTheme="minorEastAsia"/>
                <w:color w:val="000000" w:themeColor="text1"/>
                <w:kern w:val="0"/>
                <w:sz w:val="18"/>
                <w:szCs w:val="24"/>
                <w14:textFill>
                  <w14:solidFill>
                    <w14:schemeClr w14:val="tx1"/>
                  </w14:solidFill>
                </w14:textFill>
              </w:rPr>
            </w:pPr>
          </w:p>
        </w:tc>
        <w:tc>
          <w:tcPr>
            <w:tcW w:w="705" w:type="pct"/>
            <w:vMerge w:val="continue"/>
            <w:vAlign w:val="center"/>
          </w:tcPr>
          <w:p>
            <w:pPr>
              <w:widowControl/>
              <w:jc w:val="left"/>
              <w:rPr>
                <w:rFonts w:cs="宋体" w:asciiTheme="minorEastAsia" w:hAnsiTheme="minorEastAsia"/>
                <w:color w:val="000000" w:themeColor="text1"/>
                <w:kern w:val="0"/>
                <w:sz w:val="18"/>
                <w:szCs w:val="24"/>
                <w14:textFill>
                  <w14:solidFill>
                    <w14:schemeClr w14:val="tx1"/>
                  </w14:solidFill>
                </w14:textFill>
              </w:rPr>
            </w:pPr>
          </w:p>
        </w:tc>
        <w:tc>
          <w:tcPr>
            <w:tcW w:w="1085" w:type="pct"/>
            <w:vMerge w:val="continue"/>
            <w:vAlign w:val="center"/>
          </w:tcPr>
          <w:p>
            <w:pPr>
              <w:widowControl/>
              <w:jc w:val="left"/>
              <w:rPr>
                <w:rFonts w:cs="宋体" w:asciiTheme="minorEastAsia" w:hAnsiTheme="minorEastAsia"/>
                <w:color w:val="000000" w:themeColor="text1"/>
                <w:kern w:val="0"/>
                <w:sz w:val="18"/>
                <w:szCs w:val="24"/>
                <w14:textFill>
                  <w14:solidFill>
                    <w14:schemeClr w14:val="tx1"/>
                  </w14:solidFill>
                </w14:textFill>
              </w:rPr>
            </w:pPr>
          </w:p>
        </w:tc>
        <w:tc>
          <w:tcPr>
            <w:tcW w:w="820" w:type="pct"/>
            <w:vMerge w:val="continue"/>
            <w:vAlign w:val="center"/>
          </w:tcPr>
          <w:p>
            <w:pPr>
              <w:widowControl/>
              <w:jc w:val="left"/>
              <w:rPr>
                <w:rFonts w:cs="宋体" w:asciiTheme="minorEastAsia" w:hAnsiTheme="minorEastAsia"/>
                <w:color w:val="000000" w:themeColor="text1"/>
                <w:kern w:val="0"/>
                <w:sz w:val="18"/>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5" w:type="pct"/>
            <w:vMerge w:val="continue"/>
            <w:vAlign w:val="center"/>
          </w:tcPr>
          <w:p>
            <w:pPr>
              <w:widowControl/>
              <w:jc w:val="left"/>
              <w:rPr>
                <w:rFonts w:cs="宋体" w:asciiTheme="minorEastAsia" w:hAnsiTheme="minorEastAsia"/>
                <w:color w:val="000000" w:themeColor="text1"/>
                <w:kern w:val="0"/>
                <w:sz w:val="18"/>
                <w:szCs w:val="24"/>
                <w14:textFill>
                  <w14:solidFill>
                    <w14:schemeClr w14:val="tx1"/>
                  </w14:solidFill>
                </w14:textFill>
              </w:rPr>
            </w:pPr>
          </w:p>
        </w:tc>
        <w:tc>
          <w:tcPr>
            <w:tcW w:w="359" w:type="pct"/>
            <w:vMerge w:val="restart"/>
            <w:shd w:val="clear" w:color="auto" w:fill="auto"/>
            <w:noWrap/>
            <w:vAlign w:val="center"/>
          </w:tcPr>
          <w:p>
            <w:pPr>
              <w:widowControl/>
              <w:jc w:val="center"/>
              <w:rPr>
                <w:rFonts w:hint="default" w:cs="宋体" w:asciiTheme="minorEastAsia" w:hAnsiTheme="minorEastAsia" w:eastAsiaTheme="minorEastAsia"/>
                <w:color w:val="000000" w:themeColor="text1"/>
                <w:kern w:val="0"/>
                <w:sz w:val="18"/>
                <w:szCs w:val="24"/>
                <w:lang w:val="en-US" w:eastAsia="zh-CN"/>
                <w14:textFill>
                  <w14:solidFill>
                    <w14:schemeClr w14:val="tx1"/>
                  </w14:solidFill>
                </w14:textFill>
              </w:rPr>
            </w:pPr>
            <w:r>
              <w:rPr>
                <w:rFonts w:hint="eastAsia" w:cs="宋体" w:asciiTheme="minorEastAsia" w:hAnsiTheme="minorEastAsia"/>
                <w:color w:val="000000" w:themeColor="text1"/>
                <w:kern w:val="0"/>
                <w:sz w:val="18"/>
                <w:szCs w:val="24"/>
                <w:lang w:val="en-US" w:eastAsia="zh-CN"/>
                <w14:textFill>
                  <w14:solidFill>
                    <w14:schemeClr w14:val="tx1"/>
                  </w14:solidFill>
                </w14:textFill>
              </w:rPr>
              <w:t>M</w:t>
            </w:r>
          </w:p>
        </w:tc>
        <w:tc>
          <w:tcPr>
            <w:tcW w:w="1792" w:type="pct"/>
            <w:gridSpan w:val="2"/>
            <w:shd w:val="clear" w:color="auto" w:fill="auto"/>
            <w:noWrap/>
            <w:vAlign w:val="center"/>
          </w:tcPr>
          <w:p>
            <w:pPr>
              <w:widowControl/>
              <w:jc w:val="center"/>
              <w:rPr>
                <w:rFonts w:hint="default" w:cs="宋体" w:asciiTheme="minorEastAsia" w:hAnsiTheme="minorEastAsia" w:eastAsiaTheme="minorEastAsia"/>
                <w:color w:val="000000" w:themeColor="text1"/>
                <w:kern w:val="0"/>
                <w:sz w:val="18"/>
                <w:szCs w:val="24"/>
                <w:lang w:val="en-US" w:eastAsia="zh-CN"/>
                <w14:textFill>
                  <w14:solidFill>
                    <w14:schemeClr w14:val="tx1"/>
                  </w14:solidFill>
                </w14:textFill>
              </w:rPr>
            </w:pPr>
            <w:r>
              <w:rPr>
                <w:rFonts w:hint="eastAsia" w:cs="宋体" w:asciiTheme="minorEastAsia" w:hAnsiTheme="minorEastAsia"/>
                <w:color w:val="000000" w:themeColor="text1"/>
                <w:kern w:val="0"/>
                <w:sz w:val="18"/>
                <w:szCs w:val="24"/>
                <w:lang w:val="en-US" w:eastAsia="zh-CN"/>
                <w14:textFill>
                  <w14:solidFill>
                    <w14:schemeClr w14:val="tx1"/>
                  </w14:solidFill>
                </w14:textFill>
              </w:rPr>
              <w:t>工业用地</w:t>
            </w:r>
          </w:p>
        </w:tc>
        <w:tc>
          <w:tcPr>
            <w:tcW w:w="705" w:type="pct"/>
            <w:shd w:val="clear" w:color="auto" w:fill="auto"/>
            <w:noWrap/>
            <w:vAlign w:val="center"/>
          </w:tcPr>
          <w:p>
            <w:pPr>
              <w:widowControl/>
              <w:jc w:val="center"/>
              <w:rPr>
                <w:b/>
                <w:color w:val="000000" w:themeColor="text1"/>
                <w14:textFill>
                  <w14:solidFill>
                    <w14:schemeClr w14:val="tx1"/>
                  </w14:solidFill>
                </w14:textFill>
              </w:rPr>
            </w:pPr>
            <w:r>
              <w:rPr>
                <w:rFonts w:hint="eastAsia"/>
                <w:b/>
                <w:color w:val="000000" w:themeColor="text1"/>
                <w:lang w:val="en-US" w:eastAsia="zh-CN"/>
                <w14:textFill>
                  <w14:solidFill>
                    <w14:schemeClr w14:val="tx1"/>
                  </w14:solidFill>
                </w14:textFill>
              </w:rPr>
              <w:t>41373.72</w:t>
            </w:r>
          </w:p>
        </w:tc>
        <w:tc>
          <w:tcPr>
            <w:tcW w:w="1085" w:type="pct"/>
            <w:shd w:val="clear" w:color="auto" w:fill="auto"/>
            <w:noWrap/>
            <w:vAlign w:val="center"/>
          </w:tcPr>
          <w:p>
            <w:pPr>
              <w:widowControl/>
              <w:jc w:val="center"/>
              <w:rPr>
                <w:b/>
                <w:color w:val="000000" w:themeColor="text1"/>
                <w14:textFill>
                  <w14:solidFill>
                    <w14:schemeClr w14:val="tx1"/>
                  </w14:solidFill>
                </w14:textFill>
              </w:rPr>
            </w:pPr>
            <w:r>
              <w:rPr>
                <w:rFonts w:hint="eastAsia"/>
                <w:b/>
                <w:color w:val="000000" w:themeColor="text1"/>
                <w:lang w:val="en-US" w:eastAsia="zh-CN"/>
                <w14:textFill>
                  <w14:solidFill>
                    <w14:schemeClr w14:val="tx1"/>
                  </w14:solidFill>
                </w14:textFill>
              </w:rPr>
              <w:t>94.45</w:t>
            </w:r>
            <w:r>
              <w:rPr>
                <w:b/>
                <w:color w:val="000000" w:themeColor="text1"/>
                <w14:textFill>
                  <w14:solidFill>
                    <w14:schemeClr w14:val="tx1"/>
                  </w14:solidFill>
                </w14:textFill>
              </w:rPr>
              <w:t>%</w:t>
            </w:r>
          </w:p>
        </w:tc>
        <w:tc>
          <w:tcPr>
            <w:tcW w:w="820" w:type="pct"/>
            <w:shd w:val="clear" w:color="auto" w:fill="auto"/>
            <w:noWrap/>
            <w:vAlign w:val="center"/>
          </w:tcPr>
          <w:p>
            <w:pPr>
              <w:widowControl/>
              <w:jc w:val="center"/>
              <w:rPr>
                <w:b/>
                <w:color w:val="000000" w:themeColor="text1"/>
                <w14:textFill>
                  <w14:solidFill>
                    <w14:schemeClr w14:val="tx1"/>
                  </w14:solidFill>
                </w14:textFill>
              </w:rPr>
            </w:pPr>
            <w:r>
              <w:rPr>
                <w:rFonts w:hint="eastAsia"/>
                <w:b/>
                <w:color w:val="000000" w:themeColor="text1"/>
                <w:lang w:val="en-US" w:eastAsia="zh-CN"/>
                <w14:textFill>
                  <w14:solidFill>
                    <w14:schemeClr w14:val="tx1"/>
                  </w14:solidFill>
                </w14:textFill>
              </w:rPr>
              <w:t>94.45</w:t>
            </w:r>
            <w:r>
              <w:rPr>
                <w:b/>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235" w:type="pct"/>
            <w:vMerge w:val="continue"/>
            <w:vAlign w:val="center"/>
          </w:tcPr>
          <w:p>
            <w:pPr>
              <w:widowControl/>
              <w:jc w:val="left"/>
              <w:rPr>
                <w:rFonts w:cs="宋体" w:asciiTheme="minorEastAsia" w:hAnsiTheme="minorEastAsia"/>
                <w:color w:val="000000" w:themeColor="text1"/>
                <w:kern w:val="0"/>
                <w:sz w:val="18"/>
                <w:szCs w:val="24"/>
                <w14:textFill>
                  <w14:solidFill>
                    <w14:schemeClr w14:val="tx1"/>
                  </w14:solidFill>
                </w14:textFill>
              </w:rPr>
            </w:pPr>
          </w:p>
        </w:tc>
        <w:tc>
          <w:tcPr>
            <w:tcW w:w="359" w:type="pct"/>
            <w:vMerge w:val="continue"/>
            <w:vAlign w:val="center"/>
          </w:tcPr>
          <w:p>
            <w:pPr>
              <w:widowControl/>
              <w:jc w:val="left"/>
              <w:rPr>
                <w:rFonts w:cs="宋体" w:asciiTheme="minorEastAsia" w:hAnsiTheme="minorEastAsia"/>
                <w:color w:val="000000" w:themeColor="text1"/>
                <w:kern w:val="0"/>
                <w:sz w:val="18"/>
                <w:szCs w:val="24"/>
                <w14:textFill>
                  <w14:solidFill>
                    <w14:schemeClr w14:val="tx1"/>
                  </w14:solidFill>
                </w14:textFill>
              </w:rPr>
            </w:pPr>
          </w:p>
        </w:tc>
        <w:tc>
          <w:tcPr>
            <w:tcW w:w="683" w:type="pct"/>
            <w:shd w:val="clear" w:color="auto" w:fill="auto"/>
            <w:noWrap/>
            <w:vAlign w:val="center"/>
          </w:tcPr>
          <w:p>
            <w:pPr>
              <w:widowControl/>
              <w:jc w:val="center"/>
              <w:rPr>
                <w:rFonts w:hint="default" w:cs="宋体" w:asciiTheme="minorEastAsia" w:hAnsiTheme="minorEastAsia" w:eastAsiaTheme="minorEastAsia"/>
                <w:color w:val="000000" w:themeColor="text1"/>
                <w:kern w:val="0"/>
                <w:sz w:val="18"/>
                <w:szCs w:val="24"/>
                <w:lang w:val="en-US" w:eastAsia="zh-CN"/>
                <w14:textFill>
                  <w14:solidFill>
                    <w14:schemeClr w14:val="tx1"/>
                  </w14:solidFill>
                </w14:textFill>
              </w:rPr>
            </w:pPr>
            <w:r>
              <w:rPr>
                <w:rFonts w:hint="eastAsia" w:cs="宋体" w:asciiTheme="minorEastAsia" w:hAnsiTheme="minorEastAsia"/>
                <w:color w:val="000000" w:themeColor="text1"/>
                <w:kern w:val="0"/>
                <w:sz w:val="18"/>
                <w:szCs w:val="24"/>
                <w:lang w:val="en-US" w:eastAsia="zh-CN"/>
                <w14:textFill>
                  <w14:solidFill>
                    <w14:schemeClr w14:val="tx1"/>
                  </w14:solidFill>
                </w14:textFill>
              </w:rPr>
              <w:t>M2</w:t>
            </w:r>
          </w:p>
        </w:tc>
        <w:tc>
          <w:tcPr>
            <w:tcW w:w="1109" w:type="pct"/>
            <w:shd w:val="clear" w:color="auto" w:fill="auto"/>
            <w:noWrap/>
            <w:vAlign w:val="center"/>
          </w:tcPr>
          <w:p>
            <w:pPr>
              <w:widowControl/>
              <w:jc w:val="center"/>
              <w:rPr>
                <w:rFonts w:hint="default" w:cs="宋体" w:asciiTheme="minorEastAsia" w:hAnsiTheme="minorEastAsia" w:eastAsiaTheme="minorEastAsia"/>
                <w:color w:val="000000" w:themeColor="text1"/>
                <w:kern w:val="0"/>
                <w:sz w:val="18"/>
                <w:szCs w:val="24"/>
                <w:lang w:val="en-US" w:eastAsia="zh-CN"/>
                <w14:textFill>
                  <w14:solidFill>
                    <w14:schemeClr w14:val="tx1"/>
                  </w14:solidFill>
                </w14:textFill>
              </w:rPr>
            </w:pPr>
            <w:r>
              <w:rPr>
                <w:rFonts w:hint="eastAsia" w:cs="宋体" w:asciiTheme="minorEastAsia" w:hAnsiTheme="minorEastAsia"/>
                <w:color w:val="000000" w:themeColor="text1"/>
                <w:kern w:val="0"/>
                <w:sz w:val="18"/>
                <w:szCs w:val="24"/>
                <w:lang w:val="en-US" w:eastAsia="zh-CN"/>
                <w14:textFill>
                  <w14:solidFill>
                    <w14:schemeClr w14:val="tx1"/>
                  </w14:solidFill>
                </w14:textFill>
              </w:rPr>
              <w:t>二类工业用地</w:t>
            </w:r>
          </w:p>
        </w:tc>
        <w:tc>
          <w:tcPr>
            <w:tcW w:w="1204" w:type="dxa"/>
            <w:shd w:val="clear" w:color="auto" w:fill="auto"/>
            <w:noWrap/>
            <w:vAlign w:val="center"/>
          </w:tcPr>
          <w:p>
            <w:pPr>
              <w:widowControl/>
              <w:jc w:val="center"/>
              <w:rPr>
                <w:b w:val="0"/>
                <w:bCs/>
                <w:color w:val="000000" w:themeColor="text1"/>
                <w14:textFill>
                  <w14:solidFill>
                    <w14:schemeClr w14:val="tx1"/>
                  </w14:solidFill>
                </w14:textFill>
              </w:rPr>
            </w:pPr>
            <w:r>
              <w:rPr>
                <w:rFonts w:hint="eastAsia"/>
                <w:b w:val="0"/>
                <w:bCs/>
                <w:color w:val="000000" w:themeColor="text1"/>
                <w:lang w:val="en-US" w:eastAsia="zh-CN"/>
                <w14:textFill>
                  <w14:solidFill>
                    <w14:schemeClr w14:val="tx1"/>
                  </w14:solidFill>
                </w14:textFill>
              </w:rPr>
              <w:t>41373.72</w:t>
            </w:r>
          </w:p>
        </w:tc>
        <w:tc>
          <w:tcPr>
            <w:tcW w:w="1851" w:type="dxa"/>
            <w:shd w:val="clear" w:color="auto" w:fill="auto"/>
            <w:noWrap/>
            <w:vAlign w:val="center"/>
          </w:tcPr>
          <w:p>
            <w:pPr>
              <w:widowControl/>
              <w:jc w:val="center"/>
              <w:rPr>
                <w:b w:val="0"/>
                <w:bCs/>
                <w:color w:val="000000" w:themeColor="text1"/>
                <w14:textFill>
                  <w14:solidFill>
                    <w14:schemeClr w14:val="tx1"/>
                  </w14:solidFill>
                </w14:textFill>
              </w:rPr>
            </w:pPr>
            <w:r>
              <w:rPr>
                <w:rFonts w:hint="eastAsia"/>
                <w:b w:val="0"/>
                <w:bCs/>
                <w:color w:val="000000" w:themeColor="text1"/>
                <w:lang w:val="en-US" w:eastAsia="zh-CN"/>
                <w14:textFill>
                  <w14:solidFill>
                    <w14:schemeClr w14:val="tx1"/>
                  </w14:solidFill>
                </w14:textFill>
              </w:rPr>
              <w:t>94.45</w:t>
            </w:r>
            <w:r>
              <w:rPr>
                <w:b w:val="0"/>
                <w:bCs/>
                <w:color w:val="000000" w:themeColor="text1"/>
                <w14:textFill>
                  <w14:solidFill>
                    <w14:schemeClr w14:val="tx1"/>
                  </w14:solidFill>
                </w14:textFill>
              </w:rPr>
              <w:t>%</w:t>
            </w:r>
          </w:p>
        </w:tc>
        <w:tc>
          <w:tcPr>
            <w:tcW w:w="1399" w:type="dxa"/>
            <w:shd w:val="clear" w:color="auto" w:fill="auto"/>
            <w:noWrap/>
            <w:vAlign w:val="center"/>
          </w:tcPr>
          <w:p>
            <w:pPr>
              <w:widowControl/>
              <w:jc w:val="center"/>
              <w:rPr>
                <w:b w:val="0"/>
                <w:bCs/>
                <w:color w:val="000000" w:themeColor="text1"/>
                <w14:textFill>
                  <w14:solidFill>
                    <w14:schemeClr w14:val="tx1"/>
                  </w14:solidFill>
                </w14:textFill>
              </w:rPr>
            </w:pPr>
            <w:r>
              <w:rPr>
                <w:rFonts w:hint="eastAsia"/>
                <w:b w:val="0"/>
                <w:bCs/>
                <w:color w:val="000000" w:themeColor="text1"/>
                <w:lang w:val="en-US" w:eastAsia="zh-CN"/>
                <w14:textFill>
                  <w14:solidFill>
                    <w14:schemeClr w14:val="tx1"/>
                  </w14:solidFill>
                </w14:textFill>
              </w:rPr>
              <w:t>94.45</w:t>
            </w:r>
            <w:r>
              <w:rPr>
                <w:b w:val="0"/>
                <w:bCs/>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5" w:type="pct"/>
            <w:vMerge w:val="continue"/>
            <w:vAlign w:val="center"/>
          </w:tcPr>
          <w:p>
            <w:pPr>
              <w:widowControl/>
              <w:jc w:val="left"/>
              <w:rPr>
                <w:rFonts w:cs="宋体" w:asciiTheme="minorEastAsia" w:hAnsiTheme="minorEastAsia"/>
                <w:color w:val="000000" w:themeColor="text1"/>
                <w:kern w:val="0"/>
                <w:sz w:val="18"/>
                <w:szCs w:val="24"/>
                <w14:textFill>
                  <w14:solidFill>
                    <w14:schemeClr w14:val="tx1"/>
                  </w14:solidFill>
                </w14:textFill>
              </w:rPr>
            </w:pPr>
          </w:p>
        </w:tc>
        <w:tc>
          <w:tcPr>
            <w:tcW w:w="359" w:type="pct"/>
            <w:vMerge w:val="restart"/>
            <w:shd w:val="clear" w:color="auto" w:fill="auto"/>
            <w:noWrap/>
            <w:vAlign w:val="center"/>
          </w:tcPr>
          <w:p>
            <w:pPr>
              <w:widowControl/>
              <w:jc w:val="center"/>
              <w:rPr>
                <w:rFonts w:cs="宋体" w:asciiTheme="minorEastAsia" w:hAnsiTheme="minorEastAsia"/>
                <w:color w:val="000000" w:themeColor="text1"/>
                <w:kern w:val="0"/>
                <w:sz w:val="18"/>
                <w:szCs w:val="24"/>
                <w14:textFill>
                  <w14:solidFill>
                    <w14:schemeClr w14:val="tx1"/>
                  </w14:solidFill>
                </w14:textFill>
              </w:rPr>
            </w:pPr>
            <w:r>
              <w:rPr>
                <w:rFonts w:cs="宋体" w:asciiTheme="minorEastAsia" w:hAnsiTheme="minorEastAsia"/>
                <w:color w:val="000000" w:themeColor="text1"/>
                <w:kern w:val="0"/>
                <w:sz w:val="18"/>
                <w:szCs w:val="24"/>
                <w14:textFill>
                  <w14:solidFill>
                    <w14:schemeClr w14:val="tx1"/>
                  </w14:solidFill>
                </w14:textFill>
              </w:rPr>
              <w:t>S</w:t>
            </w:r>
          </w:p>
        </w:tc>
        <w:tc>
          <w:tcPr>
            <w:tcW w:w="1792" w:type="pct"/>
            <w:gridSpan w:val="2"/>
            <w:shd w:val="clear" w:color="auto" w:fill="auto"/>
            <w:noWrap/>
            <w:vAlign w:val="center"/>
          </w:tcPr>
          <w:p>
            <w:pPr>
              <w:widowControl/>
              <w:jc w:val="center"/>
              <w:rPr>
                <w:rFonts w:cs="宋体" w:asciiTheme="minorEastAsia" w:hAnsiTheme="minorEastAsia"/>
                <w:color w:val="000000" w:themeColor="text1"/>
                <w:kern w:val="0"/>
                <w:sz w:val="18"/>
                <w:szCs w:val="24"/>
                <w14:textFill>
                  <w14:solidFill>
                    <w14:schemeClr w14:val="tx1"/>
                  </w14:solidFill>
                </w14:textFill>
              </w:rPr>
            </w:pPr>
            <w:r>
              <w:rPr>
                <w:rFonts w:hint="eastAsia" w:cs="宋体" w:asciiTheme="minorEastAsia" w:hAnsiTheme="minorEastAsia"/>
                <w:color w:val="000000" w:themeColor="text1"/>
                <w:kern w:val="0"/>
                <w:sz w:val="18"/>
                <w:szCs w:val="24"/>
                <w14:textFill>
                  <w14:solidFill>
                    <w14:schemeClr w14:val="tx1"/>
                  </w14:solidFill>
                </w14:textFill>
              </w:rPr>
              <w:t>道路与交通设施用地</w:t>
            </w:r>
          </w:p>
        </w:tc>
        <w:tc>
          <w:tcPr>
            <w:tcW w:w="705" w:type="pct"/>
            <w:shd w:val="clear" w:color="auto" w:fill="auto"/>
            <w:noWrap/>
            <w:vAlign w:val="center"/>
          </w:tcPr>
          <w:p>
            <w:pPr>
              <w:widowControl/>
              <w:jc w:val="center"/>
              <w:rPr>
                <w:b/>
                <w:color w:val="000000" w:themeColor="text1"/>
                <w14:textFill>
                  <w14:solidFill>
                    <w14:schemeClr w14:val="tx1"/>
                  </w14:solidFill>
                </w14:textFill>
              </w:rPr>
            </w:pPr>
            <w:r>
              <w:rPr>
                <w:rFonts w:hint="eastAsia"/>
                <w:b/>
                <w:color w:val="000000" w:themeColor="text1"/>
                <w:lang w:val="en-US" w:eastAsia="zh-CN"/>
                <w14:textFill>
                  <w14:solidFill>
                    <w14:schemeClr w14:val="tx1"/>
                  </w14:solidFill>
                </w14:textFill>
              </w:rPr>
              <w:t>2432.76</w:t>
            </w:r>
            <w:r>
              <w:rPr>
                <w:b/>
                <w:color w:val="000000" w:themeColor="text1"/>
                <w14:textFill>
                  <w14:solidFill>
                    <w14:schemeClr w14:val="tx1"/>
                  </w14:solidFill>
                </w14:textFill>
              </w:rPr>
              <w:t xml:space="preserve"> </w:t>
            </w:r>
          </w:p>
        </w:tc>
        <w:tc>
          <w:tcPr>
            <w:tcW w:w="1851" w:type="dxa"/>
            <w:shd w:val="clear" w:color="auto" w:fill="auto"/>
            <w:noWrap/>
            <w:vAlign w:val="center"/>
          </w:tcPr>
          <w:p>
            <w:pPr>
              <w:widowControl/>
              <w:jc w:val="center"/>
              <w:rPr>
                <w:b/>
                <w:bCs/>
                <w:color w:val="000000" w:themeColor="text1"/>
                <w14:textFill>
                  <w14:solidFill>
                    <w14:schemeClr w14:val="tx1"/>
                  </w14:solidFill>
                </w14:textFill>
              </w:rPr>
            </w:pPr>
            <w:r>
              <w:rPr>
                <w:rFonts w:hint="eastAsia"/>
                <w:b/>
                <w:bCs/>
                <w:color w:val="000000" w:themeColor="text1"/>
                <w:lang w:val="en-US" w:eastAsia="zh-CN"/>
                <w14:textFill>
                  <w14:solidFill>
                    <w14:schemeClr w14:val="tx1"/>
                  </w14:solidFill>
                </w14:textFill>
              </w:rPr>
              <w:t>5.55</w:t>
            </w:r>
            <w:r>
              <w:rPr>
                <w:b/>
                <w:bCs/>
                <w:color w:val="000000" w:themeColor="text1"/>
                <w14:textFill>
                  <w14:solidFill>
                    <w14:schemeClr w14:val="tx1"/>
                  </w14:solidFill>
                </w14:textFill>
              </w:rPr>
              <w:t>%</w:t>
            </w:r>
          </w:p>
        </w:tc>
        <w:tc>
          <w:tcPr>
            <w:tcW w:w="1399" w:type="dxa"/>
            <w:shd w:val="clear" w:color="auto" w:fill="auto"/>
            <w:noWrap/>
            <w:vAlign w:val="center"/>
          </w:tcPr>
          <w:p>
            <w:pPr>
              <w:widowControl/>
              <w:jc w:val="center"/>
              <w:rPr>
                <w:b/>
                <w:bCs/>
                <w:color w:val="000000" w:themeColor="text1"/>
                <w14:textFill>
                  <w14:solidFill>
                    <w14:schemeClr w14:val="tx1"/>
                  </w14:solidFill>
                </w14:textFill>
              </w:rPr>
            </w:pPr>
            <w:r>
              <w:rPr>
                <w:rFonts w:hint="eastAsia"/>
                <w:b/>
                <w:bCs/>
                <w:color w:val="000000" w:themeColor="text1"/>
                <w:lang w:val="en-US" w:eastAsia="zh-CN"/>
                <w14:textFill>
                  <w14:solidFill>
                    <w14:schemeClr w14:val="tx1"/>
                  </w14:solidFill>
                </w14:textFill>
              </w:rPr>
              <w:t>5.55</w:t>
            </w:r>
            <w:r>
              <w:rPr>
                <w:b/>
                <w:bCs/>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5" w:type="pct"/>
            <w:vMerge w:val="continue"/>
            <w:vAlign w:val="center"/>
          </w:tcPr>
          <w:p>
            <w:pPr>
              <w:widowControl/>
              <w:jc w:val="left"/>
              <w:rPr>
                <w:rFonts w:cs="宋体" w:asciiTheme="minorEastAsia" w:hAnsiTheme="minorEastAsia"/>
                <w:color w:val="000000" w:themeColor="text1"/>
                <w:kern w:val="0"/>
                <w:sz w:val="18"/>
                <w:szCs w:val="24"/>
                <w14:textFill>
                  <w14:solidFill>
                    <w14:schemeClr w14:val="tx1"/>
                  </w14:solidFill>
                </w14:textFill>
              </w:rPr>
            </w:pPr>
          </w:p>
        </w:tc>
        <w:tc>
          <w:tcPr>
            <w:tcW w:w="359" w:type="pct"/>
            <w:vMerge w:val="continue"/>
            <w:vAlign w:val="center"/>
          </w:tcPr>
          <w:p>
            <w:pPr>
              <w:widowControl/>
              <w:jc w:val="left"/>
              <w:rPr>
                <w:rFonts w:cs="宋体" w:asciiTheme="minorEastAsia" w:hAnsiTheme="minorEastAsia"/>
                <w:color w:val="000000" w:themeColor="text1"/>
                <w:kern w:val="0"/>
                <w:sz w:val="18"/>
                <w:szCs w:val="24"/>
                <w14:textFill>
                  <w14:solidFill>
                    <w14:schemeClr w14:val="tx1"/>
                  </w14:solidFill>
                </w14:textFill>
              </w:rPr>
            </w:pPr>
          </w:p>
        </w:tc>
        <w:tc>
          <w:tcPr>
            <w:tcW w:w="683" w:type="pct"/>
            <w:shd w:val="clear" w:color="auto" w:fill="auto"/>
            <w:noWrap/>
            <w:vAlign w:val="center"/>
          </w:tcPr>
          <w:p>
            <w:pPr>
              <w:widowControl/>
              <w:jc w:val="center"/>
              <w:rPr>
                <w:rFonts w:cs="宋体" w:asciiTheme="minorEastAsia" w:hAnsiTheme="minorEastAsia"/>
                <w:color w:val="000000" w:themeColor="text1"/>
                <w:kern w:val="0"/>
                <w:sz w:val="18"/>
                <w:szCs w:val="24"/>
                <w14:textFill>
                  <w14:solidFill>
                    <w14:schemeClr w14:val="tx1"/>
                  </w14:solidFill>
                </w14:textFill>
              </w:rPr>
            </w:pPr>
            <w:r>
              <w:rPr>
                <w:rFonts w:cs="宋体" w:asciiTheme="minorEastAsia" w:hAnsiTheme="minorEastAsia"/>
                <w:color w:val="000000" w:themeColor="text1"/>
                <w:kern w:val="0"/>
                <w:sz w:val="18"/>
                <w:szCs w:val="24"/>
                <w14:textFill>
                  <w14:solidFill>
                    <w14:schemeClr w14:val="tx1"/>
                  </w14:solidFill>
                </w14:textFill>
              </w:rPr>
              <w:t>S1</w:t>
            </w:r>
          </w:p>
        </w:tc>
        <w:tc>
          <w:tcPr>
            <w:tcW w:w="1109" w:type="pct"/>
            <w:shd w:val="clear" w:color="auto" w:fill="auto"/>
            <w:noWrap/>
            <w:vAlign w:val="center"/>
          </w:tcPr>
          <w:p>
            <w:pPr>
              <w:widowControl/>
              <w:jc w:val="center"/>
              <w:rPr>
                <w:rFonts w:cs="宋体" w:asciiTheme="minorEastAsia" w:hAnsiTheme="minorEastAsia"/>
                <w:color w:val="000000" w:themeColor="text1"/>
                <w:kern w:val="0"/>
                <w:sz w:val="18"/>
                <w:szCs w:val="24"/>
                <w14:textFill>
                  <w14:solidFill>
                    <w14:schemeClr w14:val="tx1"/>
                  </w14:solidFill>
                </w14:textFill>
              </w:rPr>
            </w:pPr>
            <w:r>
              <w:rPr>
                <w:rFonts w:hint="eastAsia" w:cs="宋体" w:asciiTheme="minorEastAsia" w:hAnsiTheme="minorEastAsia"/>
                <w:color w:val="000000" w:themeColor="text1"/>
                <w:kern w:val="0"/>
                <w:sz w:val="18"/>
                <w:szCs w:val="24"/>
                <w14:textFill>
                  <w14:solidFill>
                    <w14:schemeClr w14:val="tx1"/>
                  </w14:solidFill>
                </w14:textFill>
              </w:rPr>
              <w:t>城市道路用地</w:t>
            </w:r>
          </w:p>
        </w:tc>
        <w:tc>
          <w:tcPr>
            <w:tcW w:w="1204" w:type="dxa"/>
            <w:shd w:val="clear" w:color="auto" w:fill="auto"/>
            <w:noWrap/>
            <w:vAlign w:val="center"/>
          </w:tcPr>
          <w:p>
            <w:pPr>
              <w:widowControl/>
              <w:jc w:val="center"/>
              <w:rPr>
                <w:b w:val="0"/>
                <w:bCs/>
                <w:color w:val="000000" w:themeColor="text1"/>
                <w14:textFill>
                  <w14:solidFill>
                    <w14:schemeClr w14:val="tx1"/>
                  </w14:solidFill>
                </w14:textFill>
              </w:rPr>
            </w:pPr>
            <w:r>
              <w:rPr>
                <w:rFonts w:hint="eastAsia"/>
                <w:b w:val="0"/>
                <w:bCs/>
                <w:color w:val="000000" w:themeColor="text1"/>
                <w:lang w:val="en-US" w:eastAsia="zh-CN"/>
                <w14:textFill>
                  <w14:solidFill>
                    <w14:schemeClr w14:val="tx1"/>
                  </w14:solidFill>
                </w14:textFill>
              </w:rPr>
              <w:t>2432.76</w:t>
            </w:r>
            <w:r>
              <w:rPr>
                <w:b w:val="0"/>
                <w:bCs/>
                <w:color w:val="000000" w:themeColor="text1"/>
                <w14:textFill>
                  <w14:solidFill>
                    <w14:schemeClr w14:val="tx1"/>
                  </w14:solidFill>
                </w14:textFill>
              </w:rPr>
              <w:t xml:space="preserve"> </w:t>
            </w:r>
          </w:p>
        </w:tc>
        <w:tc>
          <w:tcPr>
            <w:tcW w:w="1851" w:type="dxa"/>
            <w:shd w:val="clear" w:color="auto" w:fill="auto"/>
            <w:noWrap/>
            <w:vAlign w:val="center"/>
          </w:tcPr>
          <w:p>
            <w:pPr>
              <w:widowControl/>
              <w:jc w:val="center"/>
              <w:rPr>
                <w:b w:val="0"/>
                <w:bCs/>
                <w:color w:val="000000" w:themeColor="text1"/>
                <w14:textFill>
                  <w14:solidFill>
                    <w14:schemeClr w14:val="tx1"/>
                  </w14:solidFill>
                </w14:textFill>
              </w:rPr>
            </w:pPr>
            <w:r>
              <w:rPr>
                <w:rFonts w:hint="eastAsia"/>
                <w:b w:val="0"/>
                <w:bCs/>
                <w:color w:val="000000" w:themeColor="text1"/>
                <w:lang w:val="en-US" w:eastAsia="zh-CN"/>
                <w14:textFill>
                  <w14:solidFill>
                    <w14:schemeClr w14:val="tx1"/>
                  </w14:solidFill>
                </w14:textFill>
              </w:rPr>
              <w:t>5.55</w:t>
            </w:r>
            <w:r>
              <w:rPr>
                <w:b w:val="0"/>
                <w:bCs/>
                <w:color w:val="000000" w:themeColor="text1"/>
                <w14:textFill>
                  <w14:solidFill>
                    <w14:schemeClr w14:val="tx1"/>
                  </w14:solidFill>
                </w14:textFill>
              </w:rPr>
              <w:t>%</w:t>
            </w:r>
          </w:p>
        </w:tc>
        <w:tc>
          <w:tcPr>
            <w:tcW w:w="1399" w:type="dxa"/>
            <w:shd w:val="clear" w:color="auto" w:fill="auto"/>
            <w:noWrap/>
            <w:vAlign w:val="center"/>
          </w:tcPr>
          <w:p>
            <w:pPr>
              <w:widowControl/>
              <w:jc w:val="center"/>
              <w:rPr>
                <w:b w:val="0"/>
                <w:bCs/>
                <w:color w:val="000000" w:themeColor="text1"/>
                <w14:textFill>
                  <w14:solidFill>
                    <w14:schemeClr w14:val="tx1"/>
                  </w14:solidFill>
                </w14:textFill>
              </w:rPr>
            </w:pPr>
            <w:r>
              <w:rPr>
                <w:rFonts w:hint="eastAsia"/>
                <w:b w:val="0"/>
                <w:bCs/>
                <w:color w:val="000000" w:themeColor="text1"/>
                <w:lang w:val="en-US" w:eastAsia="zh-CN"/>
                <w14:textFill>
                  <w14:solidFill>
                    <w14:schemeClr w14:val="tx1"/>
                  </w14:solidFill>
                </w14:textFill>
              </w:rPr>
              <w:t>5.55</w:t>
            </w:r>
            <w:r>
              <w:rPr>
                <w:b w:val="0"/>
                <w:bCs/>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8" w:type="pct"/>
            <w:gridSpan w:val="4"/>
            <w:shd w:val="clear" w:color="auto" w:fill="auto"/>
            <w:noWrap/>
            <w:vAlign w:val="center"/>
          </w:tcPr>
          <w:p>
            <w:pPr>
              <w:widowControl/>
              <w:jc w:val="center"/>
              <w:rPr>
                <w:rFonts w:cs="宋体" w:asciiTheme="minorEastAsia" w:hAnsiTheme="minorEastAsia"/>
                <w:color w:val="000000" w:themeColor="text1"/>
                <w:kern w:val="0"/>
                <w:sz w:val="18"/>
                <w:szCs w:val="24"/>
                <w14:textFill>
                  <w14:solidFill>
                    <w14:schemeClr w14:val="tx1"/>
                  </w14:solidFill>
                </w14:textFill>
              </w:rPr>
            </w:pPr>
            <w:r>
              <w:rPr>
                <w:rFonts w:hint="eastAsia" w:cs="宋体" w:asciiTheme="minorEastAsia" w:hAnsiTheme="minorEastAsia"/>
                <w:color w:val="000000" w:themeColor="text1"/>
                <w:kern w:val="0"/>
                <w:sz w:val="18"/>
                <w:szCs w:val="24"/>
                <w14:textFill>
                  <w14:solidFill>
                    <w14:schemeClr w14:val="tx1"/>
                  </w14:solidFill>
                </w14:textFill>
              </w:rPr>
              <w:t>城市建设用地</w:t>
            </w:r>
          </w:p>
        </w:tc>
        <w:tc>
          <w:tcPr>
            <w:tcW w:w="705" w:type="pct"/>
            <w:shd w:val="clear" w:color="auto" w:fill="auto"/>
            <w:noWrap/>
            <w:vAlign w:val="center"/>
          </w:tcPr>
          <w:p>
            <w:pPr>
              <w:widowControl/>
              <w:jc w:val="center"/>
              <w:rPr>
                <w:b/>
                <w:color w:val="000000" w:themeColor="text1"/>
                <w14:textFill>
                  <w14:solidFill>
                    <w14:schemeClr w14:val="tx1"/>
                  </w14:solidFill>
                </w14:textFill>
              </w:rPr>
            </w:pPr>
            <w:r>
              <w:rPr>
                <w:rFonts w:hint="eastAsia"/>
                <w:b/>
                <w:color w:val="000000" w:themeColor="text1"/>
                <w:lang w:val="en-US" w:eastAsia="zh-CN"/>
                <w14:textFill>
                  <w14:solidFill>
                    <w14:schemeClr w14:val="tx1"/>
                  </w14:solidFill>
                </w14:textFill>
              </w:rPr>
              <w:t>43806.48</w:t>
            </w:r>
            <w:r>
              <w:rPr>
                <w:b/>
                <w:color w:val="000000" w:themeColor="text1"/>
                <w14:textFill>
                  <w14:solidFill>
                    <w14:schemeClr w14:val="tx1"/>
                  </w14:solidFill>
                </w14:textFill>
              </w:rPr>
              <w:t xml:space="preserve"> </w:t>
            </w:r>
          </w:p>
        </w:tc>
        <w:tc>
          <w:tcPr>
            <w:tcW w:w="1085" w:type="pct"/>
            <w:shd w:val="clear" w:color="auto" w:fill="auto"/>
            <w:noWrap/>
            <w:vAlign w:val="center"/>
          </w:tcPr>
          <w:p>
            <w:pPr>
              <w:widowControl/>
              <w:jc w:val="center"/>
              <w:rPr>
                <w:b/>
                <w:color w:val="000000" w:themeColor="text1"/>
                <w14:textFill>
                  <w14:solidFill>
                    <w14:schemeClr w14:val="tx1"/>
                  </w14:solidFill>
                </w14:textFill>
              </w:rPr>
            </w:pPr>
            <w:r>
              <w:rPr>
                <w:b/>
                <w:color w:val="000000" w:themeColor="text1"/>
                <w14:textFill>
                  <w14:solidFill>
                    <w14:schemeClr w14:val="tx1"/>
                  </w14:solidFill>
                </w14:textFill>
              </w:rPr>
              <w:t>100.00%</w:t>
            </w:r>
          </w:p>
        </w:tc>
        <w:tc>
          <w:tcPr>
            <w:tcW w:w="820" w:type="pct"/>
            <w:shd w:val="clear" w:color="auto" w:fill="auto"/>
            <w:noWrap/>
            <w:vAlign w:val="center"/>
          </w:tcPr>
          <w:p>
            <w:pPr>
              <w:widowControl/>
              <w:jc w:val="center"/>
              <w:rPr>
                <w:b/>
                <w:color w:val="000000" w:themeColor="text1"/>
                <w14:textFill>
                  <w14:solidFill>
                    <w14:schemeClr w14:val="tx1"/>
                  </w14:solidFill>
                </w14:textFill>
              </w:rPr>
            </w:pPr>
            <w:r>
              <w:rPr>
                <w:rFonts w:hint="eastAsia"/>
                <w:b/>
                <w:color w:val="000000" w:themeColor="text1"/>
                <w:lang w:val="en-US" w:eastAsia="zh-CN"/>
                <w14:textFill>
                  <w14:solidFill>
                    <w14:schemeClr w14:val="tx1"/>
                  </w14:solidFill>
                </w14:textFill>
              </w:rPr>
              <w:t>100.00</w:t>
            </w:r>
            <w:r>
              <w:rPr>
                <w:b/>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2388" w:type="pct"/>
            <w:gridSpan w:val="4"/>
            <w:shd w:val="clear" w:color="auto" w:fill="auto"/>
            <w:noWrap/>
            <w:vAlign w:val="center"/>
          </w:tcPr>
          <w:p>
            <w:pPr>
              <w:widowControl/>
              <w:jc w:val="center"/>
              <w:rPr>
                <w:rFonts w:cs="宋体" w:asciiTheme="minorEastAsia" w:hAnsiTheme="minorEastAsia"/>
                <w:color w:val="000000" w:themeColor="text1"/>
                <w:kern w:val="0"/>
                <w:sz w:val="18"/>
                <w:szCs w:val="24"/>
                <w14:textFill>
                  <w14:solidFill>
                    <w14:schemeClr w14:val="tx1"/>
                  </w14:solidFill>
                </w14:textFill>
              </w:rPr>
            </w:pPr>
            <w:r>
              <w:rPr>
                <w:rFonts w:hint="eastAsia" w:cs="宋体" w:asciiTheme="minorEastAsia" w:hAnsiTheme="minorEastAsia"/>
                <w:color w:val="000000" w:themeColor="text1"/>
                <w:kern w:val="0"/>
                <w:sz w:val="18"/>
                <w:szCs w:val="24"/>
                <w14:textFill>
                  <w14:solidFill>
                    <w14:schemeClr w14:val="tx1"/>
                  </w14:solidFill>
                </w14:textFill>
              </w:rPr>
              <w:t>总用地面积</w:t>
            </w:r>
          </w:p>
        </w:tc>
        <w:tc>
          <w:tcPr>
            <w:tcW w:w="705" w:type="pct"/>
            <w:shd w:val="clear" w:color="auto" w:fill="auto"/>
            <w:noWrap/>
            <w:vAlign w:val="center"/>
          </w:tcPr>
          <w:p>
            <w:pPr>
              <w:widowControl/>
              <w:jc w:val="center"/>
              <w:rPr>
                <w:b/>
                <w:color w:val="000000" w:themeColor="text1"/>
                <w14:textFill>
                  <w14:solidFill>
                    <w14:schemeClr w14:val="tx1"/>
                  </w14:solidFill>
                </w14:textFill>
              </w:rPr>
            </w:pPr>
            <w:r>
              <w:rPr>
                <w:rFonts w:hint="eastAsia"/>
                <w:b/>
                <w:color w:val="000000" w:themeColor="text1"/>
                <w:lang w:val="en-US" w:eastAsia="zh-CN"/>
                <w14:textFill>
                  <w14:solidFill>
                    <w14:schemeClr w14:val="tx1"/>
                  </w14:solidFill>
                </w14:textFill>
              </w:rPr>
              <w:t>43806.48</w:t>
            </w:r>
            <w:r>
              <w:rPr>
                <w:rFonts w:hint="eastAsia"/>
                <w:b/>
                <w:color w:val="000000" w:themeColor="text1"/>
                <w14:textFill>
                  <w14:solidFill>
                    <w14:schemeClr w14:val="tx1"/>
                  </w14:solidFill>
                </w14:textFill>
              </w:rPr>
              <w:t xml:space="preserve"> </w:t>
            </w:r>
          </w:p>
        </w:tc>
        <w:tc>
          <w:tcPr>
            <w:tcW w:w="1085" w:type="pct"/>
            <w:shd w:val="clear" w:color="auto" w:fill="auto"/>
            <w:noWrap/>
            <w:vAlign w:val="center"/>
          </w:tcPr>
          <w:p>
            <w:pPr>
              <w:widowControl/>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820" w:type="pct"/>
            <w:shd w:val="clear" w:color="auto" w:fill="auto"/>
            <w:noWrap/>
            <w:vAlign w:val="center"/>
          </w:tcPr>
          <w:p>
            <w:pPr>
              <w:widowControl/>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100.00%</w:t>
            </w:r>
          </w:p>
        </w:tc>
      </w:tr>
    </w:tbl>
    <w:p>
      <w:pPr>
        <w:bidi w:val="0"/>
        <w:rPr>
          <w:lang w:eastAsia="zh-CN"/>
        </w:rPr>
      </w:pPr>
      <w:r>
        <w:rPr>
          <w:lang w:eastAsia="zh-CN"/>
        </w:rPr>
        <w:br w:type="page"/>
      </w:r>
    </w:p>
    <w:p>
      <w:pPr>
        <w:pStyle w:val="2"/>
        <w:tabs>
          <w:tab w:val="left" w:pos="6663"/>
        </w:tabs>
        <w:spacing w:before="120" w:after="480" w:line="360" w:lineRule="auto"/>
        <w:jc w:val="center"/>
        <w:rPr>
          <w:rFonts w:ascii="仿宋_GB2312" w:hAnsi="Times New Roman" w:eastAsia="仿宋_GB2312"/>
          <w:sz w:val="32"/>
          <w:szCs w:val="32"/>
        </w:rPr>
      </w:pPr>
      <w:bookmarkStart w:id="3" w:name="_Toc4569"/>
      <w:r>
        <w:rPr>
          <w:rFonts w:hint="eastAsia" w:ascii="仿宋_GB2312" w:hAnsi="Times New Roman" w:eastAsia="仿宋_GB2312"/>
          <w:sz w:val="32"/>
          <w:szCs w:val="32"/>
          <w:lang w:eastAsia="zh-CN"/>
        </w:rPr>
        <w:t>第三章  地块划分与</w:t>
      </w:r>
      <w:r>
        <w:rPr>
          <w:rFonts w:hint="eastAsia" w:ascii="仿宋_GB2312" w:hAnsi="Times New Roman" w:eastAsia="仿宋_GB2312"/>
          <w:sz w:val="32"/>
          <w:szCs w:val="32"/>
        </w:rPr>
        <w:t>控制</w:t>
      </w:r>
      <w:bookmarkEnd w:id="3"/>
    </w:p>
    <w:p>
      <w:pPr>
        <w:pStyle w:val="15"/>
        <w:widowControl w:val="0"/>
        <w:numPr>
          <w:ilvl w:val="0"/>
          <w:numId w:val="1"/>
        </w:numPr>
        <w:tabs>
          <w:tab w:val="left" w:pos="0"/>
        </w:tabs>
        <w:spacing w:before="156" w:beforeLines="50" w:afterLines="0"/>
        <w:ind w:left="0" w:firstLine="0"/>
        <w:rPr>
          <w:rFonts w:ascii="仿宋_GB2312" w:eastAsia="仿宋_GB2312" w:cs="Times New Roman"/>
          <w:b/>
        </w:rPr>
      </w:pPr>
      <w:r>
        <w:rPr>
          <w:rFonts w:hint="eastAsia" w:ascii="仿宋_GB2312" w:eastAsia="仿宋_GB2312" w:cs="Times New Roman"/>
          <w:b/>
        </w:rPr>
        <w:t>地块划分</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本次规划范围内分为</w:t>
      </w:r>
      <w:r>
        <w:rPr>
          <w:rFonts w:ascii="仿宋_GB2312" w:hAnsi="Times New Roman" w:eastAsia="仿宋_GB2312"/>
          <w:sz w:val="24"/>
          <w:szCs w:val="24"/>
        </w:rPr>
        <w:t>1</w:t>
      </w:r>
      <w:r>
        <w:rPr>
          <w:rFonts w:hint="eastAsia" w:ascii="仿宋_GB2312" w:hAnsi="Times New Roman" w:eastAsia="仿宋_GB2312"/>
          <w:sz w:val="24"/>
          <w:szCs w:val="24"/>
        </w:rPr>
        <w:t>个规划管理单元，即</w:t>
      </w:r>
      <w:r>
        <w:rPr>
          <w:rFonts w:hint="eastAsia" w:ascii="仿宋_GB2312" w:hAnsi="Times New Roman" w:eastAsia="仿宋_GB2312"/>
          <w:sz w:val="24"/>
          <w:szCs w:val="24"/>
          <w:lang w:val="en-US" w:eastAsia="zh-CN"/>
        </w:rPr>
        <w:t>YM</w:t>
      </w:r>
      <w:r>
        <w:rPr>
          <w:rFonts w:ascii="仿宋_GB2312" w:hAnsi="Times New Roman" w:eastAsia="仿宋_GB2312"/>
          <w:sz w:val="24"/>
          <w:szCs w:val="24"/>
        </w:rPr>
        <w:t>单元</w:t>
      </w:r>
      <w:r>
        <w:rPr>
          <w:rFonts w:hint="eastAsia" w:ascii="仿宋_GB2312" w:hAnsi="Times New Roman" w:eastAsia="仿宋_GB2312"/>
          <w:sz w:val="24"/>
          <w:szCs w:val="24"/>
        </w:rPr>
        <w:t>。</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地块编码采用</w:t>
      </w:r>
      <w:r>
        <w:rPr>
          <w:rFonts w:hint="eastAsia" w:ascii="仿宋_GB2312" w:hAnsi="Times New Roman" w:eastAsia="仿宋_GB2312"/>
          <w:sz w:val="24"/>
          <w:szCs w:val="24"/>
          <w:lang w:val="en-US" w:eastAsia="zh-CN"/>
        </w:rPr>
        <w:t>二</w:t>
      </w:r>
      <w:r>
        <w:rPr>
          <w:rFonts w:hint="eastAsia" w:ascii="仿宋_GB2312" w:hAnsi="Times New Roman" w:eastAsia="仿宋_GB2312"/>
          <w:sz w:val="24"/>
          <w:szCs w:val="24"/>
        </w:rPr>
        <w:t>级编码方法，由“</w:t>
      </w:r>
      <w:bookmarkStart w:id="4" w:name="OLE_LINK12"/>
      <w:bookmarkStart w:id="5" w:name="OLE_LINK14"/>
      <w:r>
        <w:rPr>
          <w:rFonts w:hint="eastAsia" w:ascii="仿宋_GB2312" w:hAnsi="Times New Roman" w:eastAsia="仿宋_GB2312"/>
          <w:sz w:val="24"/>
          <w:szCs w:val="24"/>
        </w:rPr>
        <w:t>规</w:t>
      </w:r>
      <w:bookmarkEnd w:id="4"/>
      <w:bookmarkEnd w:id="5"/>
      <w:bookmarkStart w:id="6" w:name="OLE_LINK11"/>
      <w:bookmarkStart w:id="7" w:name="OLE_LINK10"/>
      <w:r>
        <w:rPr>
          <w:rFonts w:hint="eastAsia" w:ascii="仿宋_GB2312" w:hAnsi="Times New Roman" w:eastAsia="仿宋_GB2312"/>
          <w:sz w:val="24"/>
          <w:szCs w:val="24"/>
        </w:rPr>
        <w:t>划编制单元</w:t>
      </w:r>
      <w:bookmarkEnd w:id="6"/>
      <w:bookmarkEnd w:id="7"/>
      <w:r>
        <w:rPr>
          <w:rFonts w:ascii="仿宋_GB2312" w:hAnsi="Times New Roman" w:eastAsia="仿宋_GB2312"/>
          <w:sz w:val="24"/>
          <w:szCs w:val="24"/>
        </w:rPr>
        <w:t>-</w:t>
      </w:r>
      <w:r>
        <w:rPr>
          <w:rFonts w:hint="eastAsia" w:ascii="仿宋_GB2312" w:hAnsi="Times New Roman" w:eastAsia="仿宋_GB2312"/>
          <w:sz w:val="24"/>
          <w:szCs w:val="24"/>
        </w:rPr>
        <w:t>地块代码”组成。本规划范围内分区规划编制单元为</w:t>
      </w:r>
      <w:r>
        <w:rPr>
          <w:rFonts w:hint="eastAsia" w:ascii="仿宋_GB2312" w:hAnsi="Times New Roman" w:eastAsia="仿宋_GB2312"/>
          <w:sz w:val="24"/>
          <w:szCs w:val="24"/>
          <w:lang w:val="en-US" w:eastAsia="zh-CN"/>
        </w:rPr>
        <w:t>YM</w:t>
      </w:r>
      <w:r>
        <w:rPr>
          <w:rFonts w:hint="eastAsia" w:ascii="仿宋_GB2312" w:hAnsi="Times New Roman" w:eastAsia="仿宋_GB2312"/>
          <w:sz w:val="24"/>
          <w:szCs w:val="24"/>
        </w:rPr>
        <w:t>，地块代码采用二位数的阿拉伯数字01、02表示，如</w:t>
      </w:r>
      <w:r>
        <w:rPr>
          <w:rFonts w:hint="eastAsia" w:ascii="仿宋_GB2312" w:hAnsi="Times New Roman" w:eastAsia="仿宋_GB2312"/>
          <w:sz w:val="24"/>
          <w:szCs w:val="24"/>
          <w:lang w:val="en-US" w:eastAsia="zh-CN"/>
        </w:rPr>
        <w:t>YM</w:t>
      </w:r>
      <w:r>
        <w:rPr>
          <w:rFonts w:hint="eastAsia" w:ascii="仿宋_GB2312" w:hAnsi="Times New Roman" w:eastAsia="仿宋_GB2312"/>
          <w:sz w:val="24"/>
          <w:szCs w:val="24"/>
        </w:rPr>
        <w:t>01、表示</w:t>
      </w:r>
      <w:r>
        <w:rPr>
          <w:rFonts w:hint="eastAsia" w:ascii="仿宋_GB2312" w:hAnsi="Times New Roman" w:eastAsia="仿宋_GB2312"/>
          <w:sz w:val="24"/>
          <w:szCs w:val="24"/>
          <w:lang w:val="en-US" w:eastAsia="zh-CN"/>
        </w:rPr>
        <w:t>YM</w:t>
      </w:r>
      <w:r>
        <w:rPr>
          <w:rFonts w:hint="eastAsia" w:ascii="仿宋_GB2312" w:hAnsi="Times New Roman" w:eastAsia="仿宋_GB2312"/>
          <w:sz w:val="24"/>
          <w:szCs w:val="24"/>
        </w:rPr>
        <w:t>编制单元01地块。</w:t>
      </w:r>
    </w:p>
    <w:p>
      <w:pPr>
        <w:pStyle w:val="15"/>
        <w:widowControl w:val="0"/>
        <w:numPr>
          <w:ilvl w:val="0"/>
          <w:numId w:val="1"/>
        </w:numPr>
        <w:tabs>
          <w:tab w:val="left" w:pos="0"/>
        </w:tabs>
        <w:spacing w:before="156" w:beforeLines="50" w:afterLines="0"/>
        <w:ind w:left="0" w:firstLine="0"/>
        <w:rPr>
          <w:rFonts w:ascii="仿宋_GB2312" w:eastAsia="仿宋_GB2312" w:cs="Times New Roman"/>
          <w:b/>
        </w:rPr>
      </w:pPr>
      <w:r>
        <w:rPr>
          <w:rFonts w:hint="eastAsia" w:ascii="仿宋_GB2312" w:eastAsia="仿宋_GB2312" w:cs="Times New Roman"/>
          <w:b/>
        </w:rPr>
        <w:t>地块界线管制</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本规划所确定的地块界线，并不一定代表实际开发的用地红线范围，在获得规划行政主管部门批准后，具体开发建设可根据实际情况对细分地块进行合并或对地块进行细分，但应保持开发建设总量不变。对须预留公共开放空间、公共走廊和景观视廊的地块，政府应保留细分的优先权。</w:t>
      </w:r>
    </w:p>
    <w:p>
      <w:pPr>
        <w:pStyle w:val="15"/>
        <w:widowControl w:val="0"/>
        <w:numPr>
          <w:ilvl w:val="0"/>
          <w:numId w:val="1"/>
        </w:numPr>
        <w:tabs>
          <w:tab w:val="left" w:pos="0"/>
        </w:tabs>
        <w:spacing w:before="156" w:beforeLines="50" w:afterLines="0"/>
        <w:ind w:left="0" w:firstLine="0"/>
        <w:rPr>
          <w:rFonts w:ascii="仿宋_GB2312" w:eastAsia="仿宋_GB2312" w:cs="Times New Roman"/>
          <w:b/>
        </w:rPr>
      </w:pPr>
      <w:r>
        <w:rPr>
          <w:rFonts w:hint="eastAsia" w:ascii="仿宋_GB2312" w:eastAsia="仿宋_GB2312" w:cs="Times New Roman"/>
          <w:b/>
        </w:rPr>
        <w:t>用地性质管制</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在规划实施管理过程中，土地使用性质、用地界线及用地规模必须符合本规划的文本规定。因建设发展需要，土地使用性质可有条件地进行调整，其中用地性质调整应符合以下规定：</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（一）调整不得改变规划结构、用地构成比例。</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w:t>
      </w:r>
      <w:r>
        <w:rPr>
          <w:rFonts w:hint="eastAsia" w:ascii="仿宋_GB2312" w:hAnsi="Times New Roman" w:eastAsia="仿宋_GB2312"/>
          <w:sz w:val="24"/>
          <w:szCs w:val="24"/>
          <w:lang w:val="en-US" w:eastAsia="zh-CN"/>
        </w:rPr>
        <w:t>二</w:t>
      </w:r>
      <w:r>
        <w:rPr>
          <w:rFonts w:hint="eastAsia" w:ascii="仿宋_GB2312" w:hAnsi="Times New Roman" w:eastAsia="仿宋_GB2312"/>
          <w:sz w:val="24"/>
          <w:szCs w:val="24"/>
        </w:rPr>
        <w:t>）调整宜为与原用地性质的兼容性质。</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w:t>
      </w:r>
      <w:r>
        <w:rPr>
          <w:rFonts w:hint="eastAsia" w:ascii="仿宋_GB2312" w:hAnsi="Times New Roman" w:eastAsia="仿宋_GB2312"/>
          <w:sz w:val="24"/>
          <w:szCs w:val="24"/>
          <w:lang w:val="en-US" w:eastAsia="zh-CN"/>
        </w:rPr>
        <w:t>三</w:t>
      </w:r>
      <w:r>
        <w:rPr>
          <w:rFonts w:hint="eastAsia" w:ascii="仿宋_GB2312" w:hAnsi="Times New Roman" w:eastAsia="仿宋_GB2312"/>
          <w:sz w:val="24"/>
          <w:szCs w:val="24"/>
        </w:rPr>
        <w:t>）调整解释文件应附在本文件内（包括审批文件、变更说明</w:t>
      </w:r>
      <w:bookmarkStart w:id="14" w:name="_GoBack"/>
      <w:bookmarkEnd w:id="14"/>
      <w:r>
        <w:rPr>
          <w:rFonts w:hint="eastAsia" w:ascii="仿宋_GB2312" w:hAnsi="Times New Roman" w:eastAsia="仿宋_GB2312"/>
          <w:sz w:val="24"/>
          <w:szCs w:val="24"/>
        </w:rPr>
        <w:t>及相应图纸）。</w:t>
      </w:r>
    </w:p>
    <w:p>
      <w:pPr>
        <w:pStyle w:val="15"/>
        <w:widowControl w:val="0"/>
        <w:numPr>
          <w:ilvl w:val="0"/>
          <w:numId w:val="1"/>
        </w:numPr>
        <w:tabs>
          <w:tab w:val="left" w:pos="0"/>
        </w:tabs>
        <w:spacing w:before="156" w:beforeLines="50" w:afterLines="0"/>
        <w:ind w:left="0" w:firstLine="0"/>
        <w:rPr>
          <w:rFonts w:ascii="仿宋_GB2312" w:eastAsia="仿宋_GB2312" w:cs="Times New Roman"/>
          <w:b/>
        </w:rPr>
      </w:pPr>
      <w:r>
        <w:rPr>
          <w:rFonts w:hint="eastAsia" w:ascii="仿宋_GB2312" w:eastAsia="仿宋_GB2312" w:cs="Times New Roman"/>
          <w:b/>
        </w:rPr>
        <w:t>用地兼容性规定</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为提高地块开发建设的适应性，规划用地二类工业用地</w:t>
      </w:r>
      <w:r>
        <w:rPr>
          <w:rFonts w:hint="eastAsia" w:ascii="仿宋_GB2312" w:hAnsi="Times New Roman" w:eastAsia="仿宋_GB2312"/>
          <w:sz w:val="24"/>
          <w:szCs w:val="24"/>
          <w:lang w:val="en-US" w:eastAsia="zh-CN"/>
        </w:rPr>
        <w:t>的</w:t>
      </w:r>
      <w:r>
        <w:rPr>
          <w:rFonts w:hint="eastAsia" w:ascii="仿宋_GB2312" w:hAnsi="Times New Roman" w:eastAsia="仿宋_GB2312"/>
          <w:sz w:val="24"/>
          <w:szCs w:val="24"/>
        </w:rPr>
        <w:t>兼容性</w:t>
      </w:r>
      <w:r>
        <w:rPr>
          <w:rFonts w:hint="eastAsia" w:ascii="仿宋_GB2312" w:hAnsi="Times New Roman" w:eastAsia="仿宋_GB2312"/>
          <w:sz w:val="24"/>
          <w:szCs w:val="24"/>
          <w:lang w:val="en-US" w:eastAsia="zh-CN"/>
        </w:rPr>
        <w:t>为：</w:t>
      </w:r>
      <w:r>
        <w:rPr>
          <w:rFonts w:hint="eastAsia" w:ascii="仿宋_GB2312" w:hAnsi="Times New Roman" w:eastAsia="仿宋_GB2312"/>
          <w:sz w:val="24"/>
          <w:szCs w:val="24"/>
        </w:rPr>
        <w:t>地块原规划用地性质上，混合一类工业用地用地规模比例可达100%。</w:t>
      </w:r>
    </w:p>
    <w:p>
      <w:pPr>
        <w:spacing w:line="360" w:lineRule="auto"/>
        <w:jc w:val="center"/>
        <w:rPr>
          <w:rFonts w:ascii="仿宋_GB2312" w:hAnsi="Times New Roman" w:eastAsia="仿宋_GB2312"/>
          <w:sz w:val="24"/>
          <w:szCs w:val="24"/>
        </w:rPr>
      </w:pPr>
    </w:p>
    <w:p>
      <w:pPr>
        <w:spacing w:line="360" w:lineRule="auto"/>
        <w:jc w:val="center"/>
        <w:rPr>
          <w:rFonts w:ascii="仿宋_GB2312" w:hAnsi="Times New Roman" w:eastAsia="仿宋_GB2312"/>
          <w:sz w:val="24"/>
          <w:szCs w:val="24"/>
        </w:rPr>
      </w:pPr>
      <w:r>
        <w:rPr>
          <w:rFonts w:ascii="仿宋_GB2312" w:hAnsi="Times New Roman" w:eastAsia="仿宋_GB2312"/>
          <w:sz w:val="24"/>
          <w:szCs w:val="24"/>
        </w:rPr>
        <w:br w:type="page"/>
      </w:r>
    </w:p>
    <w:p>
      <w:pPr>
        <w:pStyle w:val="15"/>
        <w:widowControl w:val="0"/>
        <w:numPr>
          <w:ilvl w:val="0"/>
          <w:numId w:val="1"/>
        </w:numPr>
        <w:tabs>
          <w:tab w:val="left" w:pos="0"/>
        </w:tabs>
        <w:spacing w:before="156" w:beforeLines="50" w:afterLines="0"/>
        <w:ind w:left="0" w:firstLine="0"/>
        <w:rPr>
          <w:rFonts w:ascii="仿宋_GB2312" w:eastAsia="仿宋_GB2312" w:cs="Times New Roman"/>
          <w:b/>
        </w:rPr>
      </w:pPr>
      <w:r>
        <w:rPr>
          <w:rFonts w:hint="eastAsia" w:ascii="仿宋_GB2312" w:eastAsia="仿宋_GB2312" w:cs="Times New Roman"/>
          <w:b/>
        </w:rPr>
        <w:t>土地混合使用的管制</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非居住类用地原则上不得进行成套住宅和宿舍的建设。</w:t>
      </w:r>
    </w:p>
    <w:p>
      <w:pPr>
        <w:pStyle w:val="15"/>
        <w:widowControl w:val="0"/>
        <w:numPr>
          <w:ilvl w:val="0"/>
          <w:numId w:val="1"/>
        </w:numPr>
        <w:tabs>
          <w:tab w:val="left" w:pos="0"/>
        </w:tabs>
        <w:spacing w:before="156" w:beforeLines="50" w:afterLines="0"/>
        <w:ind w:left="0" w:firstLine="0"/>
        <w:rPr>
          <w:rFonts w:ascii="仿宋_GB2312" w:eastAsia="仿宋_GB2312" w:cs="Times New Roman"/>
          <w:b/>
        </w:rPr>
      </w:pPr>
      <w:r>
        <w:rPr>
          <w:rFonts w:hint="eastAsia" w:ascii="仿宋_GB2312" w:eastAsia="仿宋_GB2312" w:cs="Times New Roman"/>
          <w:b/>
        </w:rPr>
        <w:t>土地使用强度控制指标体系</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本规划采用容积率、建筑密度、绿地率作为土地使用强度控制指标。</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（一）容积率：即规划地块内各类建筑总面积与地块面积之比，控制其上限值，本规划确定的容积率为地块净容积率。</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（二）建筑密度：即规划地块内各类建筑基底占地面积与地块面积之比，控制其上限值，本规划确定的建筑密度为地块净建筑密度。</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（三）绿地率：指地块内绿地面积与地块面积之比，控制其下限值。</w:t>
      </w:r>
    </w:p>
    <w:p>
      <w:pPr>
        <w:spacing w:line="360" w:lineRule="auto"/>
        <w:ind w:firstLine="480" w:firstLineChars="200"/>
        <w:rPr>
          <w:rFonts w:ascii="仿宋_GB2312" w:hAnsi="Times New Roman" w:eastAsia="仿宋_GB2312"/>
          <w:sz w:val="24"/>
          <w:szCs w:val="24"/>
        </w:rPr>
      </w:pPr>
    </w:p>
    <w:p>
      <w:pPr>
        <w:bidi w:val="0"/>
        <w:rPr>
          <w:lang w:eastAsia="zh-CN"/>
        </w:rPr>
      </w:pPr>
      <w:r>
        <w:rPr>
          <w:lang w:eastAsia="zh-CN"/>
        </w:rPr>
        <w:br w:type="page"/>
      </w:r>
    </w:p>
    <w:p>
      <w:pPr>
        <w:pStyle w:val="2"/>
        <w:spacing w:before="120" w:after="480" w:line="360" w:lineRule="auto"/>
        <w:jc w:val="center"/>
        <w:rPr>
          <w:rFonts w:ascii="仿宋_GB2312" w:hAnsi="Times New Roman" w:eastAsia="仿宋_GB2312"/>
          <w:sz w:val="32"/>
          <w:szCs w:val="32"/>
          <w:lang w:eastAsia="zh-CN"/>
        </w:rPr>
      </w:pPr>
      <w:bookmarkStart w:id="8" w:name="_Toc15060"/>
      <w:r>
        <w:rPr>
          <w:rFonts w:hint="eastAsia" w:ascii="仿宋_GB2312" w:hAnsi="Times New Roman" w:eastAsia="仿宋_GB2312"/>
          <w:sz w:val="32"/>
          <w:szCs w:val="32"/>
          <w:lang w:eastAsia="zh-CN"/>
        </w:rPr>
        <w:t xml:space="preserve">第四章  </w:t>
      </w:r>
      <w:r>
        <w:rPr>
          <w:rFonts w:hint="eastAsia" w:ascii="仿宋_GB2312" w:hAnsi="Times New Roman" w:eastAsia="仿宋_GB2312"/>
          <w:sz w:val="32"/>
          <w:szCs w:val="32"/>
          <w:lang w:val="en-US" w:eastAsia="zh-CN"/>
        </w:rPr>
        <w:t>道路系统</w:t>
      </w:r>
      <w:r>
        <w:rPr>
          <w:rFonts w:hint="eastAsia" w:ascii="仿宋_GB2312" w:hAnsi="Times New Roman" w:eastAsia="仿宋_GB2312"/>
          <w:sz w:val="32"/>
          <w:szCs w:val="32"/>
        </w:rPr>
        <w:t>规划</w:t>
      </w:r>
      <w:bookmarkEnd w:id="8"/>
    </w:p>
    <w:p>
      <w:pPr>
        <w:pStyle w:val="15"/>
        <w:widowControl w:val="0"/>
        <w:numPr>
          <w:ilvl w:val="0"/>
          <w:numId w:val="1"/>
        </w:numPr>
        <w:tabs>
          <w:tab w:val="left" w:pos="0"/>
        </w:tabs>
        <w:spacing w:before="156" w:beforeLines="50" w:afterLines="0"/>
        <w:ind w:left="0" w:firstLine="0"/>
        <w:rPr>
          <w:rFonts w:ascii="仿宋_GB2312" w:eastAsia="仿宋_GB2312" w:cs="Times New Roman"/>
          <w:b/>
        </w:rPr>
      </w:pPr>
      <w:r>
        <w:rPr>
          <w:rFonts w:hint="eastAsia" w:ascii="仿宋_GB2312" w:eastAsia="仿宋_GB2312" w:cs="Times New Roman"/>
          <w:b/>
        </w:rPr>
        <w:t>规划</w:t>
      </w:r>
      <w:r>
        <w:rPr>
          <w:rFonts w:hint="eastAsia" w:ascii="仿宋_GB2312" w:eastAsia="仿宋_GB2312" w:cs="Times New Roman"/>
          <w:b/>
          <w:lang w:val="en-US" w:eastAsia="zh-CN"/>
        </w:rPr>
        <w:t>原则</w:t>
      </w:r>
    </w:p>
    <w:p>
      <w:pPr>
        <w:spacing w:line="360" w:lineRule="auto"/>
        <w:ind w:firstLine="480" w:firstLineChars="200"/>
        <w:rPr>
          <w:rFonts w:hint="default"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（1）整体性原则</w:t>
      </w:r>
    </w:p>
    <w:p>
      <w:pPr>
        <w:spacing w:line="360" w:lineRule="auto"/>
        <w:ind w:firstLine="480" w:firstLineChars="200"/>
        <w:rPr>
          <w:rFonts w:hint="eastAsia" w:ascii="仿宋_GB2312" w:hAnsi="Times New Roman" w:eastAsia="仿宋_GB2312"/>
          <w:sz w:val="24"/>
          <w:szCs w:val="24"/>
        </w:rPr>
      </w:pPr>
      <w:r>
        <w:rPr>
          <w:rFonts w:hint="eastAsia" w:ascii="仿宋_GB2312" w:hAnsi="Times New Roman" w:eastAsia="仿宋_GB2312"/>
          <w:sz w:val="24"/>
          <w:szCs w:val="24"/>
          <w:lang w:val="en-US" w:eastAsia="zh-CN"/>
        </w:rPr>
        <w:t>规划片区周边道路网应符合道路路网规划，应立足于登塘镇道路交通体系规划的协调，促进道路交通网络的完善</w:t>
      </w:r>
      <w:r>
        <w:rPr>
          <w:rFonts w:hint="eastAsia" w:ascii="仿宋_GB2312" w:hAnsi="Times New Roman" w:eastAsia="仿宋_GB2312"/>
          <w:sz w:val="24"/>
          <w:szCs w:val="24"/>
        </w:rPr>
        <w:t>。</w:t>
      </w:r>
    </w:p>
    <w:p>
      <w:pPr>
        <w:numPr>
          <w:ilvl w:val="0"/>
          <w:numId w:val="2"/>
        </w:numPr>
        <w:spacing w:line="360" w:lineRule="auto"/>
        <w:ind w:firstLine="480" w:firstLineChars="200"/>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协调性原则</w:t>
      </w:r>
    </w:p>
    <w:p>
      <w:pPr>
        <w:spacing w:line="360" w:lineRule="auto"/>
        <w:ind w:firstLine="480" w:firstLineChars="200"/>
        <w:rPr>
          <w:rFonts w:hint="default" w:ascii="仿宋_GB2312" w:hAnsi="Times New Roman" w:eastAsia="仿宋_GB2312"/>
          <w:sz w:val="24"/>
          <w:szCs w:val="24"/>
          <w:lang w:val="en-US" w:eastAsia="zh-CN"/>
        </w:rPr>
      </w:pPr>
      <w:r>
        <w:rPr>
          <w:rFonts w:hint="default" w:ascii="仿宋_GB2312" w:hAnsi="Times New Roman" w:eastAsia="仿宋_GB2312"/>
          <w:sz w:val="24"/>
          <w:szCs w:val="24"/>
          <w:lang w:val="en-US" w:eastAsia="zh-CN"/>
        </w:rPr>
        <w:t>协调用地改造与道路交通建设的时序部署，一方面利用改造推动</w:t>
      </w:r>
      <w:r>
        <w:rPr>
          <w:rFonts w:hint="eastAsia" w:ascii="仿宋_GB2312" w:hAnsi="Times New Roman" w:eastAsia="仿宋_GB2312"/>
          <w:sz w:val="24"/>
          <w:szCs w:val="24"/>
          <w:lang w:val="en-US" w:eastAsia="zh-CN"/>
        </w:rPr>
        <w:t>登塘</w:t>
      </w:r>
      <w:r>
        <w:rPr>
          <w:rFonts w:hint="default" w:ascii="仿宋_GB2312" w:hAnsi="Times New Roman" w:eastAsia="仿宋_GB2312"/>
          <w:sz w:val="24"/>
          <w:szCs w:val="24"/>
          <w:lang w:val="en-US" w:eastAsia="zh-CN"/>
        </w:rPr>
        <w:t>镇道路系统的完善与更新，另一方面则通过道路建设推动道路两侧用地的</w:t>
      </w:r>
      <w:r>
        <w:rPr>
          <w:rFonts w:hint="eastAsia" w:ascii="仿宋_GB2312" w:hAnsi="Times New Roman" w:eastAsia="仿宋_GB2312"/>
          <w:sz w:val="24"/>
          <w:szCs w:val="24"/>
          <w:lang w:val="en-US" w:eastAsia="zh-CN"/>
        </w:rPr>
        <w:t>开发</w:t>
      </w:r>
      <w:r>
        <w:rPr>
          <w:rFonts w:hint="default" w:ascii="仿宋_GB2312" w:hAnsi="Times New Roman" w:eastAsia="仿宋_GB2312"/>
          <w:sz w:val="24"/>
          <w:szCs w:val="24"/>
          <w:lang w:val="en-US" w:eastAsia="zh-CN"/>
        </w:rPr>
        <w:t>建设。此外，规划片区周边路网通行能力应与用地性质及土地开发强度相协调，为确保交通安全，尽量减少规划建设通往快速路的道路。从多方面共同协调来确定最终的道路系统规划及建设。</w:t>
      </w:r>
    </w:p>
    <w:p>
      <w:pPr>
        <w:pStyle w:val="15"/>
        <w:widowControl w:val="0"/>
        <w:numPr>
          <w:ilvl w:val="0"/>
          <w:numId w:val="1"/>
        </w:numPr>
        <w:tabs>
          <w:tab w:val="left" w:pos="0"/>
        </w:tabs>
        <w:spacing w:before="156" w:beforeLines="50" w:afterLines="0"/>
        <w:ind w:left="0" w:firstLine="0"/>
        <w:rPr>
          <w:rFonts w:ascii="仿宋_GB2312" w:eastAsia="仿宋_GB2312" w:cs="Times New Roman"/>
          <w:b/>
        </w:rPr>
      </w:pPr>
      <w:r>
        <w:rPr>
          <w:rFonts w:hint="eastAsia" w:ascii="仿宋_GB2312" w:eastAsia="仿宋_GB2312" w:cs="Times New Roman"/>
          <w:b/>
        </w:rPr>
        <w:t>道路</w:t>
      </w:r>
      <w:r>
        <w:rPr>
          <w:rFonts w:hint="eastAsia" w:ascii="仿宋_GB2312" w:eastAsia="仿宋_GB2312" w:cs="Times New Roman"/>
          <w:b/>
          <w:lang w:val="en-US" w:eastAsia="zh-CN"/>
        </w:rPr>
        <w:t>布局</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在道路系统规划中，规划片区的道路系统与</w:t>
      </w:r>
      <w:r>
        <w:rPr>
          <w:rFonts w:hint="eastAsia" w:ascii="仿宋_GB2312" w:hAnsi="Times New Roman" w:eastAsia="仿宋_GB2312"/>
          <w:sz w:val="24"/>
          <w:szCs w:val="24"/>
          <w:lang w:val="en-US" w:eastAsia="zh-CN"/>
        </w:rPr>
        <w:t>登塘</w:t>
      </w:r>
      <w:r>
        <w:rPr>
          <w:rFonts w:hint="eastAsia" w:ascii="仿宋_GB2312" w:hAnsi="Times New Roman" w:eastAsia="仿宋_GB2312"/>
          <w:sz w:val="24"/>
          <w:szCs w:val="24"/>
        </w:rPr>
        <w:t>镇</w:t>
      </w:r>
      <w:r>
        <w:rPr>
          <w:rFonts w:hint="eastAsia" w:ascii="仿宋_GB2312" w:hAnsi="Times New Roman" w:eastAsia="仿宋_GB2312"/>
          <w:sz w:val="24"/>
          <w:szCs w:val="24"/>
          <w:lang w:val="en-US" w:eastAsia="zh-CN"/>
        </w:rPr>
        <w:t>区域内现状道路</w:t>
      </w:r>
      <w:r>
        <w:rPr>
          <w:rFonts w:hint="eastAsia" w:ascii="仿宋_GB2312" w:hAnsi="Times New Roman" w:eastAsia="仿宋_GB2312"/>
          <w:sz w:val="24"/>
          <w:szCs w:val="24"/>
        </w:rPr>
        <w:t>衔接，拓宽</w:t>
      </w:r>
      <w:r>
        <w:rPr>
          <w:rFonts w:hint="eastAsia" w:ascii="仿宋_GB2312" w:hAnsi="Times New Roman" w:eastAsia="仿宋_GB2312"/>
          <w:sz w:val="24"/>
          <w:szCs w:val="24"/>
          <w:lang w:val="en-US" w:eastAsia="zh-CN"/>
        </w:rPr>
        <w:t>扬美路</w:t>
      </w:r>
      <w:r>
        <w:rPr>
          <w:rFonts w:hint="eastAsia" w:ascii="仿宋_GB2312" w:hAnsi="Times New Roman" w:eastAsia="仿宋_GB2312"/>
          <w:sz w:val="24"/>
          <w:szCs w:val="24"/>
        </w:rPr>
        <w:t xml:space="preserve">道路宽度，其道路红线控制宽度为 </w:t>
      </w:r>
      <w:r>
        <w:rPr>
          <w:rFonts w:hint="eastAsia" w:ascii="仿宋_GB2312" w:hAnsi="Times New Roman" w:eastAsia="仿宋_GB2312"/>
          <w:sz w:val="24"/>
          <w:szCs w:val="24"/>
          <w:lang w:val="en-US" w:eastAsia="zh-CN"/>
        </w:rPr>
        <w:t>10</w:t>
      </w:r>
      <w:r>
        <w:rPr>
          <w:rFonts w:hint="eastAsia" w:ascii="仿宋_GB2312" w:hAnsi="Times New Roman" w:eastAsia="仿宋_GB2312"/>
          <w:sz w:val="24"/>
          <w:szCs w:val="24"/>
        </w:rPr>
        <w:t xml:space="preserve"> 米。</w:t>
      </w:r>
    </w:p>
    <w:p>
      <w:pPr>
        <w:spacing w:line="360" w:lineRule="auto"/>
        <w:ind w:firstLine="480" w:firstLineChars="200"/>
        <w:rPr>
          <w:rFonts w:ascii="仿宋_GB2312" w:hAnsi="Times New Roman" w:eastAsia="仿宋_GB2312"/>
          <w:sz w:val="24"/>
          <w:szCs w:val="24"/>
        </w:rPr>
      </w:pPr>
    </w:p>
    <w:p>
      <w:pPr>
        <w:bidi w:val="0"/>
        <w:rPr>
          <w:lang w:eastAsia="zh-CN"/>
        </w:rPr>
      </w:pPr>
      <w:r>
        <w:rPr>
          <w:lang w:eastAsia="zh-CN"/>
        </w:rPr>
        <w:br w:type="page"/>
      </w:r>
    </w:p>
    <w:p>
      <w:pPr>
        <w:pStyle w:val="2"/>
        <w:spacing w:before="120" w:after="480" w:line="360" w:lineRule="auto"/>
        <w:jc w:val="center"/>
        <w:rPr>
          <w:rFonts w:ascii="仿宋_GB2312" w:hAnsi="Times New Roman" w:eastAsia="仿宋_GB2312"/>
          <w:sz w:val="32"/>
          <w:szCs w:val="32"/>
        </w:rPr>
      </w:pPr>
      <w:bookmarkStart w:id="9" w:name="_Toc20784"/>
      <w:r>
        <w:rPr>
          <w:rFonts w:hint="eastAsia" w:ascii="仿宋_GB2312" w:hAnsi="Times New Roman" w:eastAsia="仿宋_GB2312"/>
          <w:sz w:val="32"/>
          <w:szCs w:val="32"/>
        </w:rPr>
        <w:t>第</w:t>
      </w:r>
      <w:r>
        <w:rPr>
          <w:rFonts w:hint="eastAsia" w:ascii="仿宋_GB2312" w:hAnsi="Times New Roman" w:eastAsia="仿宋_GB2312"/>
          <w:sz w:val="32"/>
          <w:szCs w:val="32"/>
          <w:lang w:val="en-US" w:eastAsia="zh-CN"/>
        </w:rPr>
        <w:t>五</w:t>
      </w:r>
      <w:r>
        <w:rPr>
          <w:rFonts w:hint="eastAsia" w:ascii="仿宋_GB2312" w:hAnsi="Times New Roman" w:eastAsia="仿宋_GB2312"/>
          <w:sz w:val="32"/>
          <w:szCs w:val="32"/>
        </w:rPr>
        <w:t>章  市政基础设施规划</w:t>
      </w:r>
      <w:bookmarkEnd w:id="9"/>
    </w:p>
    <w:p>
      <w:pPr>
        <w:pStyle w:val="3"/>
        <w:spacing w:before="312" w:beforeLines="100" w:after="156" w:afterLines="50" w:line="360" w:lineRule="auto"/>
        <w:jc w:val="center"/>
        <w:rPr>
          <w:rFonts w:ascii="仿宋_GB2312" w:hAnsi="宋体" w:eastAsia="仿宋_GB2312"/>
          <w:bCs w:val="0"/>
          <w:sz w:val="28"/>
          <w:szCs w:val="24"/>
        </w:rPr>
      </w:pPr>
      <w:r>
        <w:rPr>
          <w:rFonts w:hint="eastAsia" w:ascii="仿宋_GB2312" w:hAnsi="宋体" w:eastAsia="仿宋_GB2312"/>
          <w:bCs w:val="0"/>
          <w:sz w:val="28"/>
          <w:szCs w:val="24"/>
        </w:rPr>
        <w:t>第一节  竖向工程规划</w:t>
      </w:r>
    </w:p>
    <w:p>
      <w:pPr>
        <w:pStyle w:val="15"/>
        <w:widowControl w:val="0"/>
        <w:numPr>
          <w:ilvl w:val="0"/>
          <w:numId w:val="1"/>
        </w:numPr>
        <w:tabs>
          <w:tab w:val="left" w:pos="0"/>
        </w:tabs>
        <w:spacing w:before="156" w:beforeLines="50" w:afterLines="0"/>
        <w:ind w:left="0" w:firstLine="0"/>
        <w:rPr>
          <w:rFonts w:ascii="仿宋_GB2312" w:hAnsi="宋体" w:eastAsia="仿宋_GB2312"/>
          <w:b/>
        </w:rPr>
      </w:pPr>
      <w:r>
        <w:rPr>
          <w:rFonts w:hint="eastAsia" w:ascii="仿宋_GB2312" w:hAnsi="宋体" w:eastAsia="仿宋_GB2312"/>
          <w:b/>
        </w:rPr>
        <w:t>规划目标</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通过对规划区现状地形地貌、道路标高、排水系统的调研及分析，对规划区的城市竖向系统进行科学规划、合理建设，最终达到建设用地布局合理、工程造价经济、景观优美、自然生态等目标。</w:t>
      </w:r>
    </w:p>
    <w:p>
      <w:pPr>
        <w:pStyle w:val="15"/>
        <w:widowControl w:val="0"/>
        <w:numPr>
          <w:ilvl w:val="0"/>
          <w:numId w:val="1"/>
        </w:numPr>
        <w:tabs>
          <w:tab w:val="left" w:pos="0"/>
        </w:tabs>
        <w:spacing w:before="156" w:beforeLines="50" w:afterLines="0"/>
        <w:ind w:left="0" w:firstLine="0"/>
        <w:rPr>
          <w:rFonts w:ascii="仿宋_GB2312" w:hAnsi="宋体" w:eastAsia="仿宋_GB2312"/>
          <w:b/>
        </w:rPr>
      </w:pPr>
      <w:r>
        <w:rPr>
          <w:rFonts w:hint="eastAsia" w:ascii="仿宋_GB2312" w:hAnsi="宋体" w:eastAsia="仿宋_GB2312"/>
          <w:b/>
        </w:rPr>
        <w:t>规划原则</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（一）可持续原则</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注重生态环境的塑造，减少对自然生态体系的破坏和冲击,使规划区实现生态环境的可持续发展。</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（二）弹性原则</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充分重视开发时序，引导规划区分期建设，强化规划的可操作性，使开发的每个阶段紧凑、集中，又为以后开发留有余地，使规划具有弹性。</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（三）经济性原则</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规划在满足道路使用功能和防洪的前提下，尽可能地减小填方区域的土方工程投资。</w:t>
      </w:r>
    </w:p>
    <w:p>
      <w:pPr>
        <w:pStyle w:val="15"/>
        <w:widowControl w:val="0"/>
        <w:numPr>
          <w:ilvl w:val="0"/>
          <w:numId w:val="1"/>
        </w:numPr>
        <w:tabs>
          <w:tab w:val="left" w:pos="0"/>
        </w:tabs>
        <w:spacing w:before="156" w:beforeLines="50" w:afterLines="0"/>
        <w:ind w:left="0" w:firstLine="0"/>
        <w:rPr>
          <w:rFonts w:ascii="仿宋_GB2312" w:hAnsi="宋体" w:eastAsia="仿宋_GB2312"/>
          <w:b/>
        </w:rPr>
      </w:pPr>
      <w:r>
        <w:rPr>
          <w:rFonts w:hint="eastAsia" w:ascii="仿宋_GB2312" w:hAnsi="宋体" w:eastAsia="仿宋_GB2312"/>
          <w:b/>
        </w:rPr>
        <w:t>道路竖向规划</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竖向设计以顺应地形并考虑到与周边地块衔接为原则，通过设置合理的纵坡，减少土方量，并做到近期减少边坡防护工程量，远期能与地块开发竖向能较好的顺接进行设计。道路设计时按下表进行设计。</w:t>
      </w:r>
    </w:p>
    <w:p>
      <w:pPr>
        <w:spacing w:line="360" w:lineRule="auto"/>
        <w:ind w:firstLine="480" w:firstLineChars="200"/>
        <w:jc w:val="center"/>
        <w:rPr>
          <w:rFonts w:ascii="仿宋_GB2312" w:eastAsia="仿宋_GB2312"/>
          <w:sz w:val="24"/>
          <w:szCs w:val="24"/>
        </w:rPr>
      </w:pPr>
      <w:r>
        <w:rPr>
          <w:rFonts w:hint="eastAsia" w:ascii="仿宋_GB2312" w:eastAsia="仿宋_GB2312"/>
          <w:sz w:val="24"/>
          <w:szCs w:val="24"/>
        </w:rPr>
        <w:t>表</w:t>
      </w:r>
      <w:r>
        <w:rPr>
          <w:rFonts w:hint="eastAsia" w:ascii="仿宋_GB2312" w:eastAsia="仿宋_GB2312"/>
          <w:sz w:val="24"/>
          <w:szCs w:val="24"/>
          <w:lang w:val="en-US" w:eastAsia="zh-CN"/>
        </w:rPr>
        <w:t>5</w:t>
      </w:r>
      <w:r>
        <w:rPr>
          <w:rFonts w:ascii="仿宋_GB2312" w:eastAsia="仿宋_GB2312"/>
          <w:sz w:val="24"/>
          <w:szCs w:val="24"/>
        </w:rPr>
        <w:t xml:space="preserve">-1 </w:t>
      </w:r>
      <w:r>
        <w:rPr>
          <w:rFonts w:hint="eastAsia" w:ascii="仿宋_GB2312" w:eastAsia="仿宋_GB2312"/>
          <w:sz w:val="24"/>
          <w:szCs w:val="24"/>
        </w:rPr>
        <w:t>道路规划纵坡表</w:t>
      </w:r>
    </w:p>
    <w:tbl>
      <w:tblPr>
        <w:tblStyle w:val="8"/>
        <w:tblW w:w="7983"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1805"/>
        <w:gridCol w:w="2456"/>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39" w:type="dxa"/>
            <w:vAlign w:val="center"/>
          </w:tcPr>
          <w:p>
            <w:pPr>
              <w:spacing w:line="360" w:lineRule="auto"/>
              <w:ind w:firstLine="480" w:firstLineChars="200"/>
              <w:rPr>
                <w:rFonts w:ascii="仿宋_GB2312" w:eastAsia="仿宋_GB2312"/>
                <w:sz w:val="24"/>
                <w:szCs w:val="24"/>
              </w:rPr>
            </w:pPr>
            <w:r>
              <w:rPr>
                <w:rFonts w:hint="eastAsia" w:ascii="仿宋_GB2312" w:eastAsia="仿宋_GB2312"/>
                <w:sz w:val="24"/>
                <w:szCs w:val="24"/>
              </w:rPr>
              <w:t>道路类别</w:t>
            </w:r>
          </w:p>
        </w:tc>
        <w:tc>
          <w:tcPr>
            <w:tcW w:w="1805" w:type="dxa"/>
            <w:vAlign w:val="center"/>
          </w:tcPr>
          <w:p>
            <w:pPr>
              <w:spacing w:line="360" w:lineRule="auto"/>
              <w:rPr>
                <w:rFonts w:ascii="仿宋_GB2312" w:eastAsia="仿宋_GB2312"/>
                <w:sz w:val="24"/>
                <w:szCs w:val="24"/>
              </w:rPr>
            </w:pPr>
            <w:r>
              <w:rPr>
                <w:rFonts w:hint="eastAsia" w:ascii="仿宋_GB2312" w:eastAsia="仿宋_GB2312"/>
                <w:sz w:val="24"/>
                <w:szCs w:val="24"/>
              </w:rPr>
              <w:t>最小纵坡（%）</w:t>
            </w:r>
          </w:p>
        </w:tc>
        <w:tc>
          <w:tcPr>
            <w:tcW w:w="2456" w:type="dxa"/>
            <w:vAlign w:val="center"/>
          </w:tcPr>
          <w:p>
            <w:pPr>
              <w:spacing w:line="360" w:lineRule="auto"/>
              <w:ind w:firstLine="480" w:firstLineChars="200"/>
              <w:rPr>
                <w:rFonts w:ascii="仿宋_GB2312" w:eastAsia="仿宋_GB2312"/>
                <w:sz w:val="24"/>
                <w:szCs w:val="24"/>
              </w:rPr>
            </w:pPr>
            <w:r>
              <w:rPr>
                <w:rFonts w:hint="eastAsia" w:ascii="仿宋_GB2312" w:eastAsia="仿宋_GB2312"/>
                <w:sz w:val="24"/>
                <w:szCs w:val="24"/>
              </w:rPr>
              <w:t>最大纵坡（%）</w:t>
            </w:r>
          </w:p>
        </w:tc>
        <w:tc>
          <w:tcPr>
            <w:tcW w:w="1983" w:type="dxa"/>
            <w:vAlign w:val="center"/>
          </w:tcPr>
          <w:p>
            <w:pPr>
              <w:spacing w:line="360" w:lineRule="auto"/>
              <w:rPr>
                <w:rFonts w:ascii="仿宋_GB2312" w:eastAsia="仿宋_GB2312"/>
                <w:sz w:val="24"/>
                <w:szCs w:val="24"/>
              </w:rPr>
            </w:pPr>
            <w:r>
              <w:rPr>
                <w:rFonts w:hint="eastAsia" w:ascii="仿宋_GB2312" w:eastAsia="仿宋_GB2312"/>
                <w:sz w:val="24"/>
                <w:szCs w:val="24"/>
              </w:rPr>
              <w:t>最小坡长（m）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9" w:type="dxa"/>
            <w:vAlign w:val="center"/>
          </w:tcPr>
          <w:p>
            <w:pPr>
              <w:spacing w:line="360" w:lineRule="auto"/>
              <w:ind w:firstLine="480" w:firstLineChars="200"/>
              <w:rPr>
                <w:rFonts w:ascii="仿宋_GB2312" w:eastAsia="仿宋_GB2312"/>
                <w:sz w:val="24"/>
                <w:szCs w:val="24"/>
              </w:rPr>
            </w:pPr>
            <w:r>
              <w:rPr>
                <w:rFonts w:hint="eastAsia" w:ascii="仿宋_GB2312" w:eastAsia="仿宋_GB2312"/>
                <w:sz w:val="24"/>
                <w:szCs w:val="24"/>
              </w:rPr>
              <w:t>主干路</w:t>
            </w:r>
          </w:p>
        </w:tc>
        <w:tc>
          <w:tcPr>
            <w:tcW w:w="1805" w:type="dxa"/>
            <w:vMerge w:val="restart"/>
            <w:vAlign w:val="center"/>
          </w:tcPr>
          <w:p>
            <w:pPr>
              <w:spacing w:line="360" w:lineRule="auto"/>
              <w:ind w:firstLine="480" w:firstLineChars="200"/>
              <w:rPr>
                <w:rFonts w:ascii="仿宋_GB2312" w:eastAsia="仿宋_GB2312"/>
                <w:sz w:val="24"/>
                <w:szCs w:val="24"/>
              </w:rPr>
            </w:pPr>
            <w:r>
              <w:rPr>
                <w:rFonts w:hint="eastAsia" w:ascii="仿宋_GB2312" w:eastAsia="仿宋_GB2312"/>
                <w:sz w:val="24"/>
                <w:szCs w:val="24"/>
              </w:rPr>
              <w:t>0.</w:t>
            </w:r>
            <w:r>
              <w:rPr>
                <w:rFonts w:ascii="仿宋_GB2312" w:eastAsia="仿宋_GB2312"/>
                <w:sz w:val="24"/>
                <w:szCs w:val="24"/>
              </w:rPr>
              <w:t>02</w:t>
            </w:r>
          </w:p>
        </w:tc>
        <w:tc>
          <w:tcPr>
            <w:tcW w:w="2456" w:type="dxa"/>
            <w:vAlign w:val="center"/>
          </w:tcPr>
          <w:p>
            <w:pPr>
              <w:spacing w:line="360" w:lineRule="auto"/>
              <w:ind w:firstLine="480" w:firstLineChars="200"/>
              <w:rPr>
                <w:rFonts w:ascii="仿宋_GB2312" w:eastAsia="仿宋_GB2312"/>
                <w:sz w:val="24"/>
                <w:szCs w:val="24"/>
              </w:rPr>
            </w:pPr>
            <w:r>
              <w:rPr>
                <w:rFonts w:hint="eastAsia" w:ascii="仿宋_GB2312" w:eastAsia="仿宋_GB2312"/>
                <w:sz w:val="24"/>
                <w:szCs w:val="24"/>
              </w:rPr>
              <w:t>5</w:t>
            </w:r>
          </w:p>
        </w:tc>
        <w:tc>
          <w:tcPr>
            <w:tcW w:w="1983" w:type="dxa"/>
            <w:vAlign w:val="center"/>
          </w:tcPr>
          <w:p>
            <w:pPr>
              <w:spacing w:line="360" w:lineRule="auto"/>
              <w:ind w:firstLine="480" w:firstLineChars="200"/>
              <w:rPr>
                <w:rFonts w:ascii="仿宋_GB2312" w:eastAsia="仿宋_GB2312"/>
                <w:sz w:val="24"/>
                <w:szCs w:val="24"/>
              </w:rPr>
            </w:pPr>
            <w:r>
              <w:rPr>
                <w:rFonts w:hint="eastAsia" w:ascii="仿宋_GB2312" w:eastAsia="仿宋_GB2312"/>
                <w:sz w:val="24"/>
                <w:szCs w:val="24"/>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739" w:type="dxa"/>
            <w:vAlign w:val="center"/>
          </w:tcPr>
          <w:p>
            <w:pPr>
              <w:spacing w:line="360" w:lineRule="auto"/>
              <w:ind w:firstLine="480" w:firstLineChars="200"/>
              <w:rPr>
                <w:rFonts w:ascii="仿宋_GB2312" w:eastAsia="仿宋_GB2312"/>
                <w:sz w:val="24"/>
                <w:szCs w:val="24"/>
              </w:rPr>
            </w:pPr>
            <w:r>
              <w:rPr>
                <w:rFonts w:hint="eastAsia" w:ascii="仿宋_GB2312" w:eastAsia="仿宋_GB2312"/>
                <w:sz w:val="24"/>
                <w:szCs w:val="24"/>
              </w:rPr>
              <w:t>次干路</w:t>
            </w:r>
          </w:p>
        </w:tc>
        <w:tc>
          <w:tcPr>
            <w:tcW w:w="1805" w:type="dxa"/>
            <w:vMerge w:val="continue"/>
            <w:vAlign w:val="center"/>
          </w:tcPr>
          <w:p>
            <w:pPr>
              <w:spacing w:line="360" w:lineRule="auto"/>
              <w:ind w:firstLine="480" w:firstLineChars="200"/>
              <w:rPr>
                <w:rFonts w:ascii="仿宋_GB2312" w:eastAsia="仿宋_GB2312"/>
                <w:sz w:val="24"/>
                <w:szCs w:val="24"/>
              </w:rPr>
            </w:pPr>
          </w:p>
        </w:tc>
        <w:tc>
          <w:tcPr>
            <w:tcW w:w="2456" w:type="dxa"/>
            <w:vAlign w:val="center"/>
          </w:tcPr>
          <w:p>
            <w:pPr>
              <w:spacing w:line="360" w:lineRule="auto"/>
              <w:ind w:firstLine="480" w:firstLineChars="200"/>
              <w:rPr>
                <w:rFonts w:ascii="仿宋_GB2312" w:eastAsia="仿宋_GB2312"/>
                <w:sz w:val="24"/>
                <w:szCs w:val="24"/>
              </w:rPr>
            </w:pPr>
            <w:r>
              <w:rPr>
                <w:rFonts w:hint="eastAsia" w:ascii="仿宋_GB2312" w:eastAsia="仿宋_GB2312"/>
                <w:sz w:val="24"/>
                <w:szCs w:val="24"/>
              </w:rPr>
              <w:t>6</w:t>
            </w:r>
          </w:p>
        </w:tc>
        <w:tc>
          <w:tcPr>
            <w:tcW w:w="1983" w:type="dxa"/>
            <w:vAlign w:val="center"/>
          </w:tcPr>
          <w:p>
            <w:pPr>
              <w:spacing w:line="360" w:lineRule="auto"/>
              <w:ind w:firstLine="480" w:firstLineChars="200"/>
              <w:rPr>
                <w:rFonts w:ascii="仿宋_GB2312" w:eastAsia="仿宋_GB2312"/>
                <w:sz w:val="24"/>
                <w:szCs w:val="24"/>
              </w:rPr>
            </w:pPr>
            <w:r>
              <w:rPr>
                <w:rFonts w:hint="eastAsia" w:ascii="仿宋_GB2312" w:eastAsia="仿宋_GB2312"/>
                <w:sz w:val="24"/>
                <w:szCs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9" w:type="dxa"/>
            <w:vAlign w:val="center"/>
          </w:tcPr>
          <w:p>
            <w:pPr>
              <w:spacing w:line="360" w:lineRule="auto"/>
              <w:ind w:firstLine="480" w:firstLineChars="200"/>
              <w:rPr>
                <w:rFonts w:ascii="仿宋_GB2312" w:eastAsia="仿宋_GB2312"/>
                <w:sz w:val="24"/>
                <w:szCs w:val="24"/>
              </w:rPr>
            </w:pPr>
            <w:r>
              <w:rPr>
                <w:rFonts w:hint="eastAsia" w:ascii="仿宋_GB2312" w:eastAsia="仿宋_GB2312"/>
                <w:sz w:val="24"/>
                <w:szCs w:val="24"/>
              </w:rPr>
              <w:t>支路</w:t>
            </w:r>
          </w:p>
        </w:tc>
        <w:tc>
          <w:tcPr>
            <w:tcW w:w="1805" w:type="dxa"/>
            <w:vMerge w:val="continue"/>
            <w:vAlign w:val="center"/>
          </w:tcPr>
          <w:p>
            <w:pPr>
              <w:spacing w:line="360" w:lineRule="auto"/>
              <w:ind w:firstLine="480" w:firstLineChars="200"/>
              <w:rPr>
                <w:rFonts w:ascii="仿宋_GB2312" w:eastAsia="仿宋_GB2312"/>
                <w:sz w:val="24"/>
                <w:szCs w:val="24"/>
              </w:rPr>
            </w:pPr>
          </w:p>
        </w:tc>
        <w:tc>
          <w:tcPr>
            <w:tcW w:w="2456" w:type="dxa"/>
            <w:vAlign w:val="center"/>
          </w:tcPr>
          <w:p>
            <w:pPr>
              <w:spacing w:line="360" w:lineRule="auto"/>
              <w:ind w:firstLine="480" w:firstLineChars="200"/>
              <w:rPr>
                <w:rFonts w:ascii="仿宋_GB2312" w:eastAsia="仿宋_GB2312"/>
                <w:sz w:val="24"/>
                <w:szCs w:val="24"/>
              </w:rPr>
            </w:pPr>
            <w:r>
              <w:rPr>
                <w:rFonts w:hint="eastAsia" w:ascii="仿宋_GB2312" w:eastAsia="仿宋_GB2312"/>
                <w:sz w:val="24"/>
                <w:szCs w:val="24"/>
              </w:rPr>
              <w:t>8</w:t>
            </w:r>
          </w:p>
        </w:tc>
        <w:tc>
          <w:tcPr>
            <w:tcW w:w="1983" w:type="dxa"/>
            <w:vAlign w:val="center"/>
          </w:tcPr>
          <w:p>
            <w:pPr>
              <w:spacing w:line="360" w:lineRule="auto"/>
              <w:ind w:firstLine="480" w:firstLineChars="200"/>
              <w:rPr>
                <w:rFonts w:ascii="仿宋_GB2312" w:eastAsia="仿宋_GB2312"/>
                <w:sz w:val="24"/>
                <w:szCs w:val="24"/>
              </w:rPr>
            </w:pPr>
            <w:r>
              <w:rPr>
                <w:rFonts w:hint="eastAsia" w:ascii="仿宋_GB2312" w:eastAsia="仿宋_GB2312"/>
                <w:sz w:val="24"/>
                <w:szCs w:val="24"/>
              </w:rPr>
              <w:t>60</w:t>
            </w:r>
          </w:p>
        </w:tc>
      </w:tr>
    </w:tbl>
    <w:p>
      <w:pPr>
        <w:spacing w:line="360" w:lineRule="auto"/>
        <w:ind w:firstLine="480" w:firstLineChars="200"/>
        <w:rPr>
          <w:rFonts w:ascii="仿宋_GB2312" w:eastAsia="仿宋_GB2312"/>
          <w:sz w:val="24"/>
          <w:szCs w:val="24"/>
        </w:rPr>
      </w:pPr>
      <w:r>
        <w:rPr>
          <w:rFonts w:hint="eastAsia" w:ascii="仿宋_GB2312" w:eastAsia="仿宋_GB2312"/>
          <w:sz w:val="24"/>
          <w:szCs w:val="24"/>
        </w:rPr>
        <w:t>回填区道路标高按照低于地块标高0.2m～0.3m，道路纵坡基本上按不小于0.1%进行设计。</w:t>
      </w:r>
    </w:p>
    <w:p>
      <w:pPr>
        <w:pStyle w:val="3"/>
        <w:spacing w:before="312" w:beforeLines="100" w:after="156" w:afterLines="50" w:line="360" w:lineRule="auto"/>
        <w:jc w:val="center"/>
        <w:rPr>
          <w:rFonts w:ascii="仿宋_GB2312" w:eastAsia="仿宋_GB2312"/>
          <w:color w:val="000000" w:themeColor="text1"/>
          <w:sz w:val="24"/>
          <w:szCs w:val="24"/>
          <w14:textFill>
            <w14:solidFill>
              <w14:schemeClr w14:val="tx1"/>
            </w14:solidFill>
          </w14:textFill>
        </w:rPr>
      </w:pPr>
      <w:r>
        <w:rPr>
          <w:rFonts w:hint="eastAsia" w:ascii="仿宋_GB2312" w:hAnsi="宋体" w:eastAsia="仿宋_GB2312"/>
          <w:bCs w:val="0"/>
          <w:color w:val="000000" w:themeColor="text1"/>
          <w:sz w:val="28"/>
          <w:szCs w:val="24"/>
          <w14:textFill>
            <w14:solidFill>
              <w14:schemeClr w14:val="tx1"/>
            </w14:solidFill>
          </w14:textFill>
        </w:rPr>
        <w:t>第二节  给水工程规划</w:t>
      </w:r>
    </w:p>
    <w:p>
      <w:pPr>
        <w:pStyle w:val="15"/>
        <w:widowControl w:val="0"/>
        <w:numPr>
          <w:ilvl w:val="0"/>
          <w:numId w:val="1"/>
        </w:numPr>
        <w:tabs>
          <w:tab w:val="left" w:pos="0"/>
        </w:tabs>
        <w:spacing w:before="156" w:beforeLines="50" w:afterLines="0"/>
        <w:ind w:left="0" w:firstLine="0"/>
        <w:rPr>
          <w:rFonts w:ascii="仿宋_GB2312" w:hAnsi="宋体" w:eastAsia="仿宋_GB2312"/>
          <w:b/>
          <w:color w:val="000000" w:themeColor="text1"/>
          <w14:textFill>
            <w14:solidFill>
              <w14:schemeClr w14:val="tx1"/>
            </w14:solidFill>
          </w14:textFill>
        </w:rPr>
      </w:pPr>
      <w:r>
        <w:rPr>
          <w:rFonts w:hint="eastAsia" w:ascii="仿宋_GB2312" w:hAnsi="宋体" w:eastAsia="仿宋_GB2312"/>
          <w:b/>
          <w:color w:val="000000" w:themeColor="text1"/>
          <w14:textFill>
            <w14:solidFill>
              <w14:schemeClr w14:val="tx1"/>
            </w14:solidFill>
          </w14:textFill>
        </w:rPr>
        <w:t>水源规划</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lang w:val="en-US" w:eastAsia="zh-CN"/>
          <w14:textFill>
            <w14:solidFill>
              <w14:schemeClr w14:val="tx1"/>
            </w14:solidFill>
          </w14:textFill>
        </w:rPr>
        <w:t>规划区近期接驳登塘镇供水厂，远期接驳大岭山供水厂</w:t>
      </w:r>
      <w:r>
        <w:rPr>
          <w:rFonts w:hint="eastAsia" w:ascii="仿宋_GB2312" w:hAnsi="Times New Roman" w:eastAsia="仿宋_GB2312"/>
          <w:color w:val="000000" w:themeColor="text1"/>
          <w:sz w:val="24"/>
          <w:szCs w:val="24"/>
          <w14:textFill>
            <w14:solidFill>
              <w14:schemeClr w14:val="tx1"/>
            </w14:solidFill>
          </w14:textFill>
        </w:rPr>
        <w:t>。</w:t>
      </w:r>
    </w:p>
    <w:p>
      <w:pPr>
        <w:pStyle w:val="15"/>
        <w:widowControl w:val="0"/>
        <w:numPr>
          <w:ilvl w:val="0"/>
          <w:numId w:val="1"/>
        </w:numPr>
        <w:tabs>
          <w:tab w:val="left" w:pos="0"/>
        </w:tabs>
        <w:spacing w:before="156" w:beforeLines="50" w:afterLines="0"/>
        <w:ind w:left="0" w:firstLine="0"/>
        <w:rPr>
          <w:rFonts w:ascii="仿宋_GB2312" w:hAnsi="宋体" w:eastAsia="仿宋_GB2312"/>
          <w:b/>
          <w:color w:val="000000" w:themeColor="text1"/>
          <w14:textFill>
            <w14:solidFill>
              <w14:schemeClr w14:val="tx1"/>
            </w14:solidFill>
          </w14:textFill>
        </w:rPr>
      </w:pPr>
      <w:r>
        <w:rPr>
          <w:rFonts w:hint="eastAsia" w:ascii="仿宋_GB2312" w:hAnsi="宋体" w:eastAsia="仿宋_GB2312"/>
          <w:b/>
          <w:color w:val="000000" w:themeColor="text1"/>
          <w14:textFill>
            <w14:solidFill>
              <w14:schemeClr w14:val="tx1"/>
            </w14:solidFill>
          </w14:textFill>
        </w:rPr>
        <w:t>输配水管网规划</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w:t>
      </w:r>
      <w:r>
        <w:rPr>
          <w:rFonts w:hint="eastAsia" w:ascii="仿宋_GB2312" w:eastAsia="仿宋_GB2312"/>
          <w:color w:val="000000" w:themeColor="text1"/>
          <w:sz w:val="24"/>
          <w:szCs w:val="24"/>
          <w14:textFill>
            <w14:solidFill>
              <w14:schemeClr w14:val="tx1"/>
            </w14:solidFill>
          </w14:textFill>
        </w:rPr>
        <w:t>1）管网布局原则</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◆管网布置宜以最短线路输送至用水量大的区域。</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◆管网规划以环形网络为主，枝状为辅，以保证供水安全性。</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◆规划管网设计只考虑DN200以上的配水干管，而街区小管道可根据实际情况与环形干管连接成小环形或枝状网。</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◆管道应尽可能敷设在现有或规划道路上，以利于施工维护。</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◆输、配管道流速宜按经济流速计算，并留有一定的发展的余地，以降低水厂长期的运行的电耗。</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（2）管网布置</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规划道路和新建设区域完善管网布设，并形成环状供水管网，管径为dn200-dn</w:t>
      </w:r>
      <w:r>
        <w:rPr>
          <w:rFonts w:ascii="仿宋_GB2312" w:eastAsia="仿宋_GB2312"/>
          <w:color w:val="000000" w:themeColor="text1"/>
          <w:sz w:val="24"/>
          <w:szCs w:val="24"/>
          <w14:textFill>
            <w14:solidFill>
              <w14:schemeClr w14:val="tx1"/>
            </w14:solidFill>
          </w14:textFill>
        </w:rPr>
        <w:t>600</w:t>
      </w:r>
      <w:r>
        <w:rPr>
          <w:rFonts w:hint="eastAsia" w:ascii="仿宋_GB2312" w:eastAsia="仿宋_GB2312"/>
          <w:color w:val="000000" w:themeColor="text1"/>
          <w:sz w:val="24"/>
          <w:szCs w:val="24"/>
          <w14:textFill>
            <w14:solidFill>
              <w14:schemeClr w14:val="tx1"/>
            </w14:solidFill>
          </w14:textFill>
        </w:rPr>
        <w:t>。</w:t>
      </w:r>
    </w:p>
    <w:p>
      <w:pPr>
        <w:pStyle w:val="15"/>
        <w:widowControl w:val="0"/>
        <w:numPr>
          <w:ilvl w:val="0"/>
          <w:numId w:val="1"/>
        </w:numPr>
        <w:tabs>
          <w:tab w:val="left" w:pos="0"/>
        </w:tabs>
        <w:spacing w:before="156" w:beforeLines="50" w:afterLines="0"/>
        <w:ind w:left="0" w:firstLine="0"/>
        <w:rPr>
          <w:rFonts w:ascii="仿宋_GB2312" w:hAnsi="宋体" w:eastAsia="仿宋_GB2312"/>
          <w:b/>
          <w:color w:val="000000" w:themeColor="text1"/>
          <w14:textFill>
            <w14:solidFill>
              <w14:schemeClr w14:val="tx1"/>
            </w14:solidFill>
          </w14:textFill>
        </w:rPr>
      </w:pPr>
      <w:r>
        <w:rPr>
          <w:rFonts w:hint="eastAsia" w:ascii="仿宋_GB2312" w:hAnsi="宋体" w:eastAsia="仿宋_GB2312"/>
          <w:b/>
          <w:color w:val="000000" w:themeColor="text1"/>
          <w14:textFill>
            <w14:solidFill>
              <w14:schemeClr w14:val="tx1"/>
            </w14:solidFill>
          </w14:textFill>
        </w:rPr>
        <w:t>节水规划</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（1）加强规划区供水管网的维护管理、改进测漏技术、使用新型管材和接口，采取有效措施防止管网漏失。</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（2）选用质量好的节水型用水器具，节约居民生活用水和公共场所用水。</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（3）政府引导。促进节水型企业入驻，限制耗水污染型工业发展，鼓励水资源重复利用。</w:t>
      </w:r>
    </w:p>
    <w:p>
      <w:pPr>
        <w:pStyle w:val="3"/>
        <w:spacing w:before="312" w:beforeLines="100" w:after="156" w:afterLines="50" w:line="360" w:lineRule="auto"/>
        <w:jc w:val="center"/>
        <w:rPr>
          <w:rFonts w:ascii="仿宋_GB2312" w:eastAsia="仿宋_GB2312"/>
          <w:color w:val="000000" w:themeColor="text1"/>
          <w:sz w:val="24"/>
          <w:szCs w:val="24"/>
          <w14:textFill>
            <w14:solidFill>
              <w14:schemeClr w14:val="tx1"/>
            </w14:solidFill>
          </w14:textFill>
        </w:rPr>
      </w:pPr>
      <w:r>
        <w:rPr>
          <w:rFonts w:hint="eastAsia" w:ascii="仿宋_GB2312" w:hAnsi="宋体" w:eastAsia="仿宋_GB2312"/>
          <w:bCs w:val="0"/>
          <w:color w:val="000000" w:themeColor="text1"/>
          <w:sz w:val="28"/>
          <w:szCs w:val="24"/>
          <w14:textFill>
            <w14:solidFill>
              <w14:schemeClr w14:val="tx1"/>
            </w14:solidFill>
          </w14:textFill>
        </w:rPr>
        <w:t>第三节  污水工程规划</w:t>
      </w:r>
    </w:p>
    <w:p>
      <w:pPr>
        <w:pStyle w:val="15"/>
        <w:widowControl w:val="0"/>
        <w:numPr>
          <w:ilvl w:val="0"/>
          <w:numId w:val="1"/>
        </w:numPr>
        <w:tabs>
          <w:tab w:val="left" w:pos="0"/>
        </w:tabs>
        <w:spacing w:before="156" w:beforeLines="50" w:afterLines="0"/>
        <w:ind w:left="0" w:firstLine="0"/>
        <w:rPr>
          <w:rFonts w:ascii="仿宋_GB2312" w:hAnsi="宋体" w:eastAsia="仿宋_GB2312"/>
          <w:b/>
          <w:color w:val="000000" w:themeColor="text1"/>
          <w14:textFill>
            <w14:solidFill>
              <w14:schemeClr w14:val="tx1"/>
            </w14:solidFill>
          </w14:textFill>
        </w:rPr>
      </w:pPr>
      <w:r>
        <w:rPr>
          <w:rFonts w:hint="eastAsia" w:ascii="仿宋_GB2312" w:hAnsi="宋体" w:eastAsia="仿宋_GB2312"/>
          <w:b/>
          <w:color w:val="000000" w:themeColor="text1"/>
          <w14:textFill>
            <w14:solidFill>
              <w14:schemeClr w14:val="tx1"/>
            </w14:solidFill>
          </w14:textFill>
        </w:rPr>
        <w:t>排水体系规划</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xml:space="preserve"> 规划</w:t>
      </w:r>
      <w:r>
        <w:rPr>
          <w:rFonts w:hint="eastAsia" w:ascii="仿宋_GB2312" w:eastAsia="仿宋_GB2312"/>
          <w:color w:val="000000" w:themeColor="text1"/>
          <w:sz w:val="24"/>
          <w:szCs w:val="24"/>
          <w:lang w:val="en-US" w:eastAsia="zh-CN"/>
          <w14:textFill>
            <w14:solidFill>
              <w14:schemeClr w14:val="tx1"/>
            </w14:solidFill>
          </w14:textFill>
        </w:rPr>
        <w:t>区排水系统采用雨污分流制</w:t>
      </w:r>
      <w:r>
        <w:rPr>
          <w:rFonts w:hint="eastAsia" w:ascii="仿宋_GB2312" w:eastAsia="仿宋_GB2312"/>
          <w:color w:val="000000" w:themeColor="text1"/>
          <w:sz w:val="24"/>
          <w:szCs w:val="24"/>
          <w14:textFill>
            <w14:solidFill>
              <w14:schemeClr w14:val="tx1"/>
            </w14:solidFill>
          </w14:textFill>
        </w:rPr>
        <w:t>。</w:t>
      </w:r>
    </w:p>
    <w:p>
      <w:pPr>
        <w:pStyle w:val="15"/>
        <w:widowControl w:val="0"/>
        <w:numPr>
          <w:ilvl w:val="0"/>
          <w:numId w:val="1"/>
        </w:numPr>
        <w:tabs>
          <w:tab w:val="left" w:pos="0"/>
        </w:tabs>
        <w:spacing w:before="156" w:beforeLines="50" w:afterLines="0"/>
        <w:ind w:left="0" w:firstLine="0"/>
        <w:rPr>
          <w:rFonts w:ascii="仿宋_GB2312" w:hAnsi="宋体" w:eastAsia="仿宋_GB2312"/>
          <w:b/>
          <w:color w:val="000000" w:themeColor="text1"/>
          <w14:textFill>
            <w14:solidFill>
              <w14:schemeClr w14:val="tx1"/>
            </w14:solidFill>
          </w14:textFill>
        </w:rPr>
      </w:pPr>
      <w:r>
        <w:rPr>
          <w:rFonts w:hint="eastAsia" w:ascii="仿宋_GB2312" w:hAnsi="宋体" w:eastAsia="仿宋_GB2312"/>
          <w:b/>
          <w:color w:val="000000" w:themeColor="text1"/>
          <w14:textFill>
            <w14:solidFill>
              <w14:schemeClr w14:val="tx1"/>
            </w14:solidFill>
          </w14:textFill>
        </w:rPr>
        <w:t>污水系统</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污水</w:t>
      </w:r>
      <w:r>
        <w:rPr>
          <w:rFonts w:hint="eastAsia" w:ascii="仿宋_GB2312" w:eastAsia="仿宋_GB2312"/>
          <w:color w:val="000000" w:themeColor="text1"/>
          <w:sz w:val="24"/>
          <w:szCs w:val="24"/>
          <w:lang w:val="en-US" w:eastAsia="zh-CN"/>
          <w14:textFill>
            <w14:solidFill>
              <w14:schemeClr w14:val="tx1"/>
            </w14:solidFill>
          </w14:textFill>
        </w:rPr>
        <w:t>近期主要排向登塘镇污水厂</w:t>
      </w:r>
      <w:r>
        <w:rPr>
          <w:rFonts w:hint="eastAsia" w:ascii="仿宋_GB2312" w:eastAsia="仿宋_GB2312"/>
          <w:color w:val="000000" w:themeColor="text1"/>
          <w:sz w:val="24"/>
          <w:szCs w:val="24"/>
          <w14:textFill>
            <w14:solidFill>
              <w14:schemeClr w14:val="tx1"/>
            </w14:solidFill>
          </w14:textFill>
        </w:rPr>
        <w:t>进行处理，远期规划规模</w:t>
      </w:r>
      <w:r>
        <w:rPr>
          <w:rFonts w:hint="eastAsia" w:ascii="仿宋_GB2312" w:eastAsia="仿宋_GB2312"/>
          <w:color w:val="000000" w:themeColor="text1"/>
          <w:sz w:val="24"/>
          <w:szCs w:val="24"/>
          <w:lang w:val="en-US" w:eastAsia="zh-CN"/>
          <w14:textFill>
            <w14:solidFill>
              <w14:schemeClr w14:val="tx1"/>
            </w14:solidFill>
          </w14:textFill>
        </w:rPr>
        <w:t>排向大岭山污水厂进行处理</w:t>
      </w:r>
      <w:r>
        <w:rPr>
          <w:rFonts w:hint="eastAsia" w:ascii="仿宋_GB2312" w:eastAsia="仿宋_GB2312"/>
          <w:color w:val="000000" w:themeColor="text1"/>
          <w:sz w:val="24"/>
          <w:szCs w:val="24"/>
          <w14:textFill>
            <w14:solidFill>
              <w14:schemeClr w14:val="tx1"/>
            </w14:solidFill>
          </w14:textFill>
        </w:rPr>
        <w:t>。</w:t>
      </w:r>
    </w:p>
    <w:p>
      <w:pPr>
        <w:pStyle w:val="15"/>
        <w:widowControl w:val="0"/>
        <w:numPr>
          <w:ilvl w:val="0"/>
          <w:numId w:val="1"/>
        </w:numPr>
        <w:tabs>
          <w:tab w:val="left" w:pos="0"/>
        </w:tabs>
        <w:spacing w:before="156" w:beforeLines="50" w:afterLines="0"/>
        <w:ind w:left="0" w:firstLine="0"/>
        <w:rPr>
          <w:rFonts w:ascii="仿宋_GB2312" w:hAnsi="宋体" w:eastAsia="仿宋_GB2312"/>
          <w:b/>
          <w:color w:val="000000" w:themeColor="text1"/>
          <w14:textFill>
            <w14:solidFill>
              <w14:schemeClr w14:val="tx1"/>
            </w14:solidFill>
          </w14:textFill>
        </w:rPr>
      </w:pPr>
      <w:r>
        <w:rPr>
          <w:rFonts w:hint="eastAsia" w:ascii="仿宋_GB2312" w:hAnsi="宋体" w:eastAsia="仿宋_GB2312"/>
          <w:b/>
          <w:color w:val="000000" w:themeColor="text1"/>
          <w14:textFill>
            <w14:solidFill>
              <w14:schemeClr w14:val="tx1"/>
            </w14:solidFill>
          </w14:textFill>
        </w:rPr>
        <w:t>污水管网规划</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xml:space="preserve"> 污水管渠以重力流为主，沿主要道路敷设。 </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xml:space="preserve"> 规划</w:t>
      </w:r>
      <w:r>
        <w:rPr>
          <w:rFonts w:hint="eastAsia" w:ascii="仿宋_GB2312" w:eastAsia="仿宋_GB2312"/>
          <w:color w:val="000000" w:themeColor="text1"/>
          <w:sz w:val="24"/>
          <w:szCs w:val="24"/>
          <w:lang w:val="en-US" w:eastAsia="zh-CN"/>
          <w14:textFill>
            <w14:solidFill>
              <w14:schemeClr w14:val="tx1"/>
            </w14:solidFill>
          </w14:textFill>
        </w:rPr>
        <w:t>区</w:t>
      </w:r>
      <w:r>
        <w:rPr>
          <w:rFonts w:hint="eastAsia" w:ascii="仿宋_GB2312" w:eastAsia="仿宋_GB2312"/>
          <w:color w:val="000000" w:themeColor="text1"/>
          <w:sz w:val="24"/>
          <w:szCs w:val="24"/>
          <w14:textFill>
            <w14:solidFill>
              <w14:schemeClr w14:val="tx1"/>
            </w14:solidFill>
          </w14:textFill>
        </w:rPr>
        <w:t>污水干管管径约为d</w:t>
      </w:r>
      <w:r>
        <w:rPr>
          <w:rFonts w:ascii="仿宋_GB2312" w:eastAsia="仿宋_GB2312"/>
          <w:color w:val="000000" w:themeColor="text1"/>
          <w:sz w:val="24"/>
          <w:szCs w:val="24"/>
          <w14:textFill>
            <w14:solidFill>
              <w14:schemeClr w14:val="tx1"/>
            </w14:solidFill>
          </w14:textFill>
        </w:rPr>
        <w:t>3</w:t>
      </w:r>
      <w:r>
        <w:rPr>
          <w:rFonts w:hint="eastAsia" w:ascii="仿宋_GB2312" w:eastAsia="仿宋_GB2312"/>
          <w:color w:val="000000" w:themeColor="text1"/>
          <w:sz w:val="24"/>
          <w:szCs w:val="24"/>
          <w14:textFill>
            <w14:solidFill>
              <w14:schemeClr w14:val="tx1"/>
            </w14:solidFill>
          </w14:textFill>
        </w:rPr>
        <w:t>00～d</w:t>
      </w:r>
      <w:r>
        <w:rPr>
          <w:rFonts w:ascii="仿宋_GB2312" w:eastAsia="仿宋_GB2312"/>
          <w:color w:val="000000" w:themeColor="text1"/>
          <w:sz w:val="24"/>
          <w:szCs w:val="24"/>
          <w14:textFill>
            <w14:solidFill>
              <w14:schemeClr w14:val="tx1"/>
            </w14:solidFill>
          </w14:textFill>
        </w:rPr>
        <w:t>4</w:t>
      </w:r>
      <w:r>
        <w:rPr>
          <w:rFonts w:hint="eastAsia" w:ascii="仿宋_GB2312" w:eastAsia="仿宋_GB2312"/>
          <w:color w:val="000000" w:themeColor="text1"/>
          <w:sz w:val="24"/>
          <w:szCs w:val="24"/>
          <w14:textFill>
            <w14:solidFill>
              <w14:schemeClr w14:val="tx1"/>
            </w14:solidFill>
          </w14:textFill>
        </w:rPr>
        <w:t>00，污水干管的起点覆土不小于</w:t>
      </w:r>
      <w:r>
        <w:rPr>
          <w:rFonts w:ascii="仿宋_GB2312" w:eastAsia="仿宋_GB2312"/>
          <w:color w:val="000000" w:themeColor="text1"/>
          <w:sz w:val="24"/>
          <w:szCs w:val="24"/>
          <w14:textFill>
            <w14:solidFill>
              <w14:schemeClr w14:val="tx1"/>
            </w14:solidFill>
          </w14:textFill>
        </w:rPr>
        <w:t>1.5</w:t>
      </w:r>
      <w:r>
        <w:rPr>
          <w:rFonts w:hint="eastAsia" w:ascii="仿宋_GB2312" w:eastAsia="仿宋_GB2312"/>
          <w:color w:val="000000" w:themeColor="text1"/>
          <w:sz w:val="24"/>
          <w:szCs w:val="24"/>
          <w14:textFill>
            <w14:solidFill>
              <w14:schemeClr w14:val="tx1"/>
            </w14:solidFill>
          </w14:textFill>
        </w:rPr>
        <w:t>m。在管道交汇处、转弯处、跌水处、管径或坡度改变处以及直线管段上每隔一定距离处应当设检查井。</w:t>
      </w:r>
    </w:p>
    <w:p>
      <w:pPr>
        <w:pStyle w:val="3"/>
        <w:numPr>
          <w:ilvl w:val="0"/>
          <w:numId w:val="3"/>
        </w:numPr>
        <w:spacing w:before="312" w:beforeLines="100" w:after="156" w:afterLines="50" w:line="360" w:lineRule="auto"/>
        <w:jc w:val="center"/>
        <w:rPr>
          <w:rFonts w:ascii="仿宋_GB2312" w:hAnsi="宋体" w:eastAsia="仿宋_GB2312"/>
          <w:bCs w:val="0"/>
          <w:color w:val="000000" w:themeColor="text1"/>
          <w:sz w:val="28"/>
          <w:szCs w:val="24"/>
          <w14:textFill>
            <w14:solidFill>
              <w14:schemeClr w14:val="tx1"/>
            </w14:solidFill>
          </w14:textFill>
        </w:rPr>
      </w:pPr>
      <w:bookmarkStart w:id="10" w:name="_Toc367699928"/>
      <w:r>
        <w:rPr>
          <w:rFonts w:hint="eastAsia" w:ascii="仿宋_GB2312" w:hAnsi="宋体" w:eastAsia="仿宋_GB2312"/>
          <w:bCs w:val="0"/>
          <w:color w:val="000000" w:themeColor="text1"/>
          <w:sz w:val="28"/>
          <w:szCs w:val="24"/>
          <w14:textFill>
            <w14:solidFill>
              <w14:schemeClr w14:val="tx1"/>
            </w14:solidFill>
          </w14:textFill>
        </w:rPr>
        <w:t xml:space="preserve"> 雨水工程规划</w:t>
      </w:r>
      <w:bookmarkEnd w:id="10"/>
    </w:p>
    <w:p>
      <w:pPr>
        <w:pStyle w:val="15"/>
        <w:widowControl w:val="0"/>
        <w:numPr>
          <w:ilvl w:val="0"/>
          <w:numId w:val="1"/>
        </w:numPr>
        <w:tabs>
          <w:tab w:val="left" w:pos="0"/>
        </w:tabs>
        <w:spacing w:before="156" w:beforeLines="50" w:afterLines="0"/>
        <w:ind w:left="0" w:firstLine="0"/>
        <w:rPr>
          <w:rFonts w:ascii="仿宋_GB2312" w:hAnsi="宋体" w:eastAsia="仿宋_GB2312"/>
          <w:b/>
          <w:color w:val="000000" w:themeColor="text1"/>
          <w14:textFill>
            <w14:solidFill>
              <w14:schemeClr w14:val="tx1"/>
            </w14:solidFill>
          </w14:textFill>
        </w:rPr>
      </w:pPr>
      <w:r>
        <w:rPr>
          <w:rFonts w:hint="eastAsia" w:ascii="仿宋_GB2312" w:hAnsi="宋体" w:eastAsia="仿宋_GB2312"/>
          <w:b/>
          <w:color w:val="000000" w:themeColor="text1"/>
          <w14:textFill>
            <w14:solidFill>
              <w14:schemeClr w14:val="tx1"/>
            </w14:solidFill>
          </w14:textFill>
        </w:rPr>
        <w:t>规划原则</w:t>
      </w:r>
    </w:p>
    <w:p>
      <w:pPr>
        <w:spacing w:line="360" w:lineRule="auto"/>
        <w:ind w:firstLine="480" w:firstLineChars="200"/>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（1）根据地形、水系的位置合理划分排水分区</w:t>
      </w:r>
    </w:p>
    <w:p>
      <w:pPr>
        <w:spacing w:line="360" w:lineRule="auto"/>
        <w:ind w:firstLine="480" w:firstLineChars="200"/>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（2）雨水管道将尽可能避免穿越堤防、其它障碍物，减少与其它管线交叉。</w:t>
      </w:r>
    </w:p>
    <w:p>
      <w:pPr>
        <w:spacing w:line="360" w:lineRule="auto"/>
        <w:ind w:firstLine="480" w:firstLineChars="200"/>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（3）雨水管道的布置既要考虑其水力条件、经济条件，也考虑其可实施性。</w:t>
      </w:r>
    </w:p>
    <w:p>
      <w:pPr>
        <w:spacing w:line="360" w:lineRule="auto"/>
        <w:ind w:firstLine="480" w:firstLineChars="200"/>
        <w:rPr>
          <w:rFonts w:ascii="仿宋_GB2312" w:eastAsia="仿宋_GB2312"/>
          <w:color w:val="000000" w:themeColor="text1"/>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（4）从环境效益、规模效益等综合因素规划分区。</w:t>
      </w:r>
    </w:p>
    <w:p>
      <w:pPr>
        <w:pStyle w:val="15"/>
        <w:widowControl w:val="0"/>
        <w:numPr>
          <w:ilvl w:val="0"/>
          <w:numId w:val="1"/>
        </w:numPr>
        <w:tabs>
          <w:tab w:val="left" w:pos="0"/>
        </w:tabs>
        <w:spacing w:before="156" w:beforeLines="50" w:afterLines="0"/>
        <w:ind w:left="0" w:firstLine="0"/>
        <w:rPr>
          <w:rFonts w:ascii="仿宋_GB2312" w:hAnsi="宋体" w:eastAsia="仿宋_GB2312"/>
          <w:b/>
          <w:color w:val="000000" w:themeColor="text1"/>
          <w14:textFill>
            <w14:solidFill>
              <w14:schemeClr w14:val="tx1"/>
            </w14:solidFill>
          </w14:textFill>
        </w:rPr>
      </w:pPr>
      <w:r>
        <w:rPr>
          <w:rFonts w:hint="eastAsia" w:ascii="仿宋_GB2312" w:hAnsi="宋体" w:eastAsia="仿宋_GB2312"/>
          <w:b/>
          <w:color w:val="000000" w:themeColor="text1"/>
          <w14:textFill>
            <w14:solidFill>
              <w14:schemeClr w14:val="tx1"/>
            </w14:solidFill>
          </w14:textFill>
        </w:rPr>
        <w:t>设计暴雨强度</w:t>
      </w:r>
    </w:p>
    <w:p>
      <w:pPr>
        <w:spacing w:line="360" w:lineRule="auto"/>
        <w:ind w:firstLine="480" w:firstLineChars="200"/>
        <w:rPr>
          <w:rFonts w:hint="eastAsia" w:ascii="仿宋_GB2312" w:hAnsi="Times New Roman" w:eastAsia="仿宋_GB2312"/>
          <w:color w:val="000000" w:themeColor="text1"/>
          <w:sz w:val="24"/>
          <w:szCs w:val="24"/>
          <w:lang w:eastAsia="zh-CN"/>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雨量计算采用</w:t>
      </w:r>
      <w:r>
        <w:rPr>
          <w:rFonts w:hint="eastAsia" w:ascii="仿宋_GB2312" w:hAnsi="Times New Roman" w:eastAsia="仿宋_GB2312"/>
          <w:color w:val="000000" w:themeColor="text1"/>
          <w:sz w:val="24"/>
          <w:szCs w:val="24"/>
          <w:lang w:val="en-US" w:eastAsia="zh-CN"/>
          <w14:textFill>
            <w14:solidFill>
              <w14:schemeClr w14:val="tx1"/>
            </w14:solidFill>
          </w14:textFill>
        </w:rPr>
        <w:t>潮州</w:t>
      </w:r>
      <w:r>
        <w:rPr>
          <w:rFonts w:hint="eastAsia" w:ascii="仿宋_GB2312" w:hAnsi="Times New Roman" w:eastAsia="仿宋_GB2312"/>
          <w:color w:val="000000" w:themeColor="text1"/>
          <w:sz w:val="24"/>
          <w:szCs w:val="24"/>
          <w14:textFill>
            <w14:solidFill>
              <w14:schemeClr w14:val="tx1"/>
            </w14:solidFill>
          </w14:textFill>
        </w:rPr>
        <w:t>市短历时暴雨强度公式</w:t>
      </w:r>
      <w:r>
        <w:rPr>
          <w:rFonts w:hint="eastAsia" w:ascii="仿宋_GB2312" w:hAnsi="Times New Roman" w:eastAsia="仿宋_GB2312"/>
          <w:color w:val="000000" w:themeColor="text1"/>
          <w:sz w:val="24"/>
          <w:szCs w:val="24"/>
          <w:lang w:eastAsia="zh-CN"/>
          <w14:textFill>
            <w14:solidFill>
              <w14:schemeClr w14:val="tx1"/>
            </w14:solidFill>
          </w14:textFill>
        </w:rPr>
        <w:t>。</w:t>
      </w:r>
    </w:p>
    <w:p>
      <w:pPr>
        <w:pStyle w:val="15"/>
        <w:widowControl w:val="0"/>
        <w:numPr>
          <w:ilvl w:val="0"/>
          <w:numId w:val="1"/>
        </w:numPr>
        <w:tabs>
          <w:tab w:val="left" w:pos="0"/>
        </w:tabs>
        <w:spacing w:before="156" w:beforeLines="50" w:afterLines="0"/>
        <w:ind w:left="0" w:firstLine="0"/>
        <w:rPr>
          <w:rFonts w:ascii="仿宋_GB2312" w:hAnsi="宋体" w:eastAsia="仿宋_GB2312"/>
          <w:b/>
          <w:color w:val="000000" w:themeColor="text1"/>
          <w14:textFill>
            <w14:solidFill>
              <w14:schemeClr w14:val="tx1"/>
            </w14:solidFill>
          </w14:textFill>
        </w:rPr>
      </w:pPr>
      <w:bookmarkStart w:id="11" w:name="_Toc367699932"/>
      <w:r>
        <w:rPr>
          <w:rFonts w:hint="eastAsia" w:ascii="仿宋_GB2312" w:hAnsi="宋体" w:eastAsia="仿宋_GB2312"/>
          <w:b/>
          <w:color w:val="000000" w:themeColor="text1"/>
          <w14:textFill>
            <w14:solidFill>
              <w14:schemeClr w14:val="tx1"/>
            </w14:solidFill>
          </w14:textFill>
        </w:rPr>
        <w:t>雨水管网设计</w:t>
      </w:r>
      <w:bookmarkEnd w:id="11"/>
    </w:p>
    <w:p>
      <w:pPr>
        <w:spacing w:line="360" w:lineRule="auto"/>
        <w:ind w:firstLine="480" w:firstLineChars="200"/>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针对规划区的地势和竖向规划等情况，规划区内雨水排水线路以短为宜，雨水排放以就近排放为主。雨水管渠管径在</w:t>
      </w:r>
      <w:r>
        <w:rPr>
          <w:rFonts w:ascii="仿宋_GB2312" w:hAnsi="Times New Roman" w:eastAsia="仿宋_GB2312"/>
          <w:color w:val="000000" w:themeColor="text1"/>
          <w:sz w:val="24"/>
          <w:szCs w:val="24"/>
          <w14:textFill>
            <w14:solidFill>
              <w14:schemeClr w14:val="tx1"/>
            </w14:solidFill>
          </w14:textFill>
        </w:rPr>
        <w:t>d600~BxH=2.0m×1.8m</w:t>
      </w:r>
      <w:r>
        <w:rPr>
          <w:rFonts w:hint="eastAsia" w:ascii="仿宋_GB2312" w:hAnsi="Times New Roman" w:eastAsia="仿宋_GB2312"/>
          <w:color w:val="000000" w:themeColor="text1"/>
          <w:sz w:val="24"/>
          <w:szCs w:val="24"/>
          <w14:textFill>
            <w14:solidFill>
              <w14:schemeClr w14:val="tx1"/>
            </w14:solidFill>
          </w14:textFill>
        </w:rPr>
        <w:t>，管道起点埋深不小于1.2m。</w:t>
      </w:r>
    </w:p>
    <w:p>
      <w:pPr>
        <w:pStyle w:val="3"/>
        <w:numPr>
          <w:ilvl w:val="0"/>
          <w:numId w:val="3"/>
        </w:numPr>
        <w:spacing w:before="312" w:beforeLines="100" w:after="156" w:afterLines="50" w:line="360" w:lineRule="auto"/>
        <w:jc w:val="center"/>
        <w:rPr>
          <w:rFonts w:ascii="仿宋_GB2312" w:hAnsi="宋体" w:eastAsia="仿宋_GB2312"/>
          <w:bCs w:val="0"/>
          <w:color w:val="000000" w:themeColor="text1"/>
          <w:sz w:val="28"/>
          <w:szCs w:val="24"/>
          <w14:textFill>
            <w14:solidFill>
              <w14:schemeClr w14:val="tx1"/>
            </w14:solidFill>
          </w14:textFill>
        </w:rPr>
      </w:pPr>
      <w:r>
        <w:rPr>
          <w:rFonts w:hint="eastAsia" w:ascii="仿宋_GB2312" w:hAnsi="宋体" w:eastAsia="仿宋_GB2312"/>
          <w:bCs w:val="0"/>
          <w:color w:val="000000" w:themeColor="text1"/>
          <w:sz w:val="28"/>
          <w:szCs w:val="24"/>
          <w14:textFill>
            <w14:solidFill>
              <w14:schemeClr w14:val="tx1"/>
            </w14:solidFill>
          </w14:textFill>
        </w:rPr>
        <w:t>电力工程规划</w:t>
      </w:r>
    </w:p>
    <w:p>
      <w:pPr>
        <w:pStyle w:val="15"/>
        <w:widowControl w:val="0"/>
        <w:numPr>
          <w:ilvl w:val="0"/>
          <w:numId w:val="1"/>
        </w:numPr>
        <w:tabs>
          <w:tab w:val="left" w:pos="0"/>
        </w:tabs>
        <w:spacing w:before="156" w:beforeLines="50" w:afterLines="0"/>
        <w:ind w:left="0" w:firstLine="0"/>
        <w:rPr>
          <w:rFonts w:ascii="仿宋_GB2312" w:hAnsi="宋体" w:eastAsia="仿宋_GB2312"/>
          <w:b/>
          <w:color w:val="000000" w:themeColor="text1"/>
          <w14:textFill>
            <w14:solidFill>
              <w14:schemeClr w14:val="tx1"/>
            </w14:solidFill>
          </w14:textFill>
        </w:rPr>
      </w:pPr>
      <w:r>
        <w:rPr>
          <w:rFonts w:hint="eastAsia" w:ascii="仿宋_GB2312" w:hAnsi="宋体" w:eastAsia="仿宋_GB2312"/>
          <w:b/>
          <w:color w:val="000000" w:themeColor="text1"/>
          <w14:textFill>
            <w14:solidFill>
              <w14:schemeClr w14:val="tx1"/>
            </w14:solidFill>
          </w14:textFill>
        </w:rPr>
        <w:t>中压电网规划</w:t>
      </w:r>
    </w:p>
    <w:p>
      <w:pPr>
        <w:spacing w:line="360" w:lineRule="auto"/>
        <w:ind w:firstLine="480" w:firstLineChars="200"/>
        <w:rPr>
          <w:rFonts w:hint="default" w:ascii="仿宋_GB2312" w:hAnsi="Times New Roman" w:eastAsia="仿宋_GB2312"/>
          <w:color w:val="000000" w:themeColor="text1"/>
          <w:sz w:val="24"/>
          <w:szCs w:val="24"/>
          <w:lang w:val="en-US" w:eastAsia="zh-CN"/>
          <w14:textFill>
            <w14:solidFill>
              <w14:schemeClr w14:val="tx1"/>
            </w14:solidFill>
          </w14:textFill>
        </w:rPr>
      </w:pPr>
      <w:r>
        <w:rPr>
          <w:rFonts w:hint="eastAsia" w:ascii="仿宋_GB2312" w:hAnsi="Times New Roman" w:eastAsia="仿宋_GB2312"/>
          <w:color w:val="000000" w:themeColor="text1"/>
          <w:sz w:val="24"/>
          <w:szCs w:val="24"/>
          <w:lang w:val="en-US" w:eastAsia="zh-CN"/>
          <w14:textFill>
            <w14:solidFill>
              <w14:schemeClr w14:val="tx1"/>
            </w14:solidFill>
          </w14:textFill>
        </w:rPr>
        <w:t>规划区内采用</w:t>
      </w:r>
      <w:r>
        <w:rPr>
          <w:rFonts w:hint="eastAsia" w:ascii="仿宋_GB2312" w:hAnsi="Times New Roman" w:eastAsia="仿宋_GB2312"/>
          <w:color w:val="000000" w:themeColor="text1"/>
          <w:sz w:val="24"/>
          <w:szCs w:val="24"/>
          <w14:textFill>
            <w14:solidFill>
              <w14:schemeClr w14:val="tx1"/>
            </w14:solidFill>
          </w14:textFill>
        </w:rPr>
        <w:t>10kV</w:t>
      </w:r>
      <w:r>
        <w:rPr>
          <w:rFonts w:hint="eastAsia" w:ascii="仿宋_GB2312" w:hAnsi="Times New Roman" w:eastAsia="仿宋_GB2312"/>
          <w:color w:val="000000" w:themeColor="text1"/>
          <w:sz w:val="24"/>
          <w:szCs w:val="24"/>
          <w:lang w:val="en-US" w:eastAsia="zh-CN"/>
          <w14:textFill>
            <w14:solidFill>
              <w14:schemeClr w14:val="tx1"/>
            </w14:solidFill>
          </w14:textFill>
        </w:rPr>
        <w:t>中压配电网、220/380v低压配电网两级。可接登塘镇郑岗村变电站。</w:t>
      </w:r>
    </w:p>
    <w:p>
      <w:pPr>
        <w:spacing w:line="360" w:lineRule="auto"/>
        <w:ind w:firstLine="480" w:firstLineChars="200"/>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规划区</w:t>
      </w:r>
      <w:r>
        <w:rPr>
          <w:rFonts w:hint="eastAsia" w:ascii="仿宋_GB2312" w:hAnsi="Times New Roman" w:eastAsia="仿宋_GB2312"/>
          <w:color w:val="000000" w:themeColor="text1"/>
          <w:sz w:val="24"/>
          <w:szCs w:val="24"/>
          <w:lang w:val="en-US" w:eastAsia="zh-CN"/>
          <w14:textFill>
            <w14:solidFill>
              <w14:schemeClr w14:val="tx1"/>
            </w14:solidFill>
          </w14:textFill>
        </w:rPr>
        <w:t>内有条件可</w:t>
      </w:r>
      <w:r>
        <w:rPr>
          <w:rFonts w:hint="eastAsia" w:ascii="仿宋_GB2312" w:hAnsi="Times New Roman" w:eastAsia="仿宋_GB2312"/>
          <w:color w:val="000000" w:themeColor="text1"/>
          <w:sz w:val="24"/>
          <w:szCs w:val="24"/>
          <w14:textFill>
            <w14:solidFill>
              <w14:schemeClr w14:val="tx1"/>
            </w14:solidFill>
          </w14:textFill>
        </w:rPr>
        <w:t>增设1个10kV开关房，10kV开关房的容量按0.3~1.2万kVA规模设计，根据地块负荷分布情况，选择较适中的位置而设定，宜设置于建筑物的首层或架空层，并且应考虑交通运输方便、保证供电半径、进出线便利等，同时应考虑路灯专变摆放的位置。考虑变压器的平均负荷率为0.6~0.8，开关房的建筑面积不小于100 m</w:t>
      </w:r>
      <w:r>
        <w:rPr>
          <w:rFonts w:hint="eastAsia" w:ascii="仿宋_GB2312" w:hAnsi="Times New Roman" w:eastAsia="仿宋_GB2312"/>
          <w:color w:val="000000" w:themeColor="text1"/>
          <w:sz w:val="24"/>
          <w:szCs w:val="24"/>
          <w:vertAlign w:val="superscript"/>
          <w14:textFill>
            <w14:solidFill>
              <w14:schemeClr w14:val="tx1"/>
            </w14:solidFill>
          </w14:textFill>
        </w:rPr>
        <w:t>2</w:t>
      </w:r>
      <w:r>
        <w:rPr>
          <w:rFonts w:hint="eastAsia" w:ascii="仿宋_GB2312" w:hAnsi="Times New Roman" w:eastAsia="仿宋_GB2312"/>
          <w:color w:val="000000" w:themeColor="text1"/>
          <w:sz w:val="24"/>
          <w:szCs w:val="24"/>
          <w14:textFill>
            <w14:solidFill>
              <w14:schemeClr w14:val="tx1"/>
            </w14:solidFill>
          </w14:textFill>
        </w:rPr>
        <w:t>。</w:t>
      </w:r>
    </w:p>
    <w:p>
      <w:pPr>
        <w:pStyle w:val="3"/>
        <w:numPr>
          <w:ilvl w:val="0"/>
          <w:numId w:val="3"/>
        </w:numPr>
        <w:spacing w:before="312" w:beforeLines="100" w:after="156" w:afterLines="50" w:line="360" w:lineRule="auto"/>
        <w:jc w:val="center"/>
        <w:rPr>
          <w:rFonts w:ascii="仿宋_GB2312" w:hAnsi="宋体" w:eastAsia="仿宋_GB2312"/>
          <w:bCs w:val="0"/>
          <w:color w:val="000000" w:themeColor="text1"/>
          <w:sz w:val="28"/>
          <w:szCs w:val="24"/>
          <w14:textFill>
            <w14:solidFill>
              <w14:schemeClr w14:val="tx1"/>
            </w14:solidFill>
          </w14:textFill>
        </w:rPr>
      </w:pPr>
      <w:r>
        <w:rPr>
          <w:rFonts w:hint="eastAsia" w:ascii="仿宋_GB2312" w:hAnsi="宋体" w:eastAsia="仿宋_GB2312"/>
          <w:bCs w:val="0"/>
          <w:color w:val="000000" w:themeColor="text1"/>
          <w:sz w:val="28"/>
          <w:szCs w:val="24"/>
          <w14:textFill>
            <w14:solidFill>
              <w14:schemeClr w14:val="tx1"/>
            </w14:solidFill>
          </w14:textFill>
        </w:rPr>
        <w:t>通信工程规划</w:t>
      </w:r>
    </w:p>
    <w:p>
      <w:pPr>
        <w:pStyle w:val="15"/>
        <w:widowControl w:val="0"/>
        <w:numPr>
          <w:ilvl w:val="0"/>
          <w:numId w:val="1"/>
        </w:numPr>
        <w:tabs>
          <w:tab w:val="left" w:pos="0"/>
        </w:tabs>
        <w:spacing w:before="156" w:beforeLines="50" w:afterLines="0"/>
        <w:ind w:left="0" w:firstLine="0"/>
        <w:rPr>
          <w:rFonts w:ascii="仿宋_GB2312" w:hAnsi="宋体" w:eastAsia="仿宋_GB2312"/>
          <w:b/>
          <w:color w:val="000000" w:themeColor="text1"/>
          <w14:textFill>
            <w14:solidFill>
              <w14:schemeClr w14:val="tx1"/>
            </w14:solidFill>
          </w14:textFill>
        </w:rPr>
      </w:pPr>
      <w:r>
        <w:rPr>
          <w:rFonts w:hint="eastAsia" w:ascii="仿宋_GB2312" w:hAnsi="宋体" w:eastAsia="仿宋_GB2312"/>
          <w:b/>
          <w:color w:val="000000" w:themeColor="text1"/>
          <w14:textFill>
            <w14:solidFill>
              <w14:schemeClr w14:val="tx1"/>
            </w14:solidFill>
          </w14:textFill>
        </w:rPr>
        <w:t>通信线路共建共享规划</w:t>
      </w:r>
    </w:p>
    <w:p>
      <w:pPr>
        <w:spacing w:line="360" w:lineRule="auto"/>
        <w:ind w:firstLine="480" w:firstLineChars="200"/>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为减少重复建设，提高通信传输线路利用率，推动规划区内通信传输线路共建共享工作，统一、规范通信传输线路共建共享规划、设计、验收和维护。</w:t>
      </w:r>
    </w:p>
    <w:p>
      <w:pPr>
        <w:spacing w:line="360" w:lineRule="auto"/>
        <w:ind w:firstLine="480" w:firstLineChars="200"/>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共建共享线路路由的选择应满足通信网络规划，并应结合水文、气象、地理、地形、地质、地震、交通、城市规划、土地利用、名胜古迹、电磁环境、环境保护、投资效益等因素综合比较选定，线路建设应考虑保护当地文物、自然水系、湿地、基本农田、森林和其他保护区。</w:t>
      </w:r>
    </w:p>
    <w:p>
      <w:pPr>
        <w:spacing w:line="360" w:lineRule="auto"/>
        <w:ind w:firstLine="480" w:firstLineChars="200"/>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传输线路共建共享各方应在各自提出的共建共享需求的基础上进行分析、协商、形成并确认共建共享规划方案，以保证共建共享的传输线路能够最大程度的满足共建共享各方的需求。</w:t>
      </w:r>
    </w:p>
    <w:p>
      <w:pPr>
        <w:spacing w:line="360" w:lineRule="auto"/>
        <w:ind w:firstLine="480" w:firstLineChars="200"/>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传输线路的共建共享规划应充分考虑各方的网络、业务安全、发展容量和维护等级因素。</w:t>
      </w:r>
    </w:p>
    <w:p>
      <w:pPr>
        <w:bidi w:val="0"/>
        <w:rPr>
          <w:lang w:eastAsia="zh-CN"/>
        </w:rPr>
      </w:pPr>
      <w:r>
        <w:rPr>
          <w:lang w:eastAsia="zh-CN"/>
        </w:rPr>
        <w:br w:type="page"/>
      </w:r>
    </w:p>
    <w:p>
      <w:pPr>
        <w:pStyle w:val="2"/>
        <w:spacing w:before="120" w:after="480" w:line="360" w:lineRule="auto"/>
        <w:jc w:val="center"/>
        <w:rPr>
          <w:rFonts w:ascii="仿宋_GB2312" w:hAnsi="Times New Roman" w:eastAsia="仿宋_GB2312"/>
          <w:sz w:val="32"/>
          <w:szCs w:val="32"/>
          <w:lang w:eastAsia="zh-CN"/>
        </w:rPr>
      </w:pPr>
      <w:bookmarkStart w:id="12" w:name="_Toc30052"/>
      <w:r>
        <w:rPr>
          <w:rFonts w:hint="eastAsia" w:ascii="仿宋_GB2312" w:hAnsi="Times New Roman" w:eastAsia="仿宋_GB2312"/>
          <w:sz w:val="32"/>
          <w:szCs w:val="32"/>
          <w:lang w:eastAsia="zh-CN"/>
        </w:rPr>
        <w:t>第</w:t>
      </w:r>
      <w:r>
        <w:rPr>
          <w:rFonts w:hint="eastAsia" w:ascii="仿宋_GB2312" w:hAnsi="Times New Roman" w:eastAsia="仿宋_GB2312"/>
          <w:sz w:val="32"/>
          <w:szCs w:val="32"/>
          <w:lang w:val="en-US" w:eastAsia="zh-CN"/>
        </w:rPr>
        <w:t>六</w:t>
      </w:r>
      <w:r>
        <w:rPr>
          <w:rFonts w:hint="eastAsia" w:ascii="仿宋_GB2312" w:hAnsi="Times New Roman" w:eastAsia="仿宋_GB2312"/>
          <w:sz w:val="32"/>
          <w:szCs w:val="32"/>
          <w:lang w:eastAsia="zh-CN"/>
        </w:rPr>
        <w:t xml:space="preserve">章 </w:t>
      </w:r>
      <w:r>
        <w:rPr>
          <w:rFonts w:hint="eastAsia" w:ascii="仿宋_GB2312" w:hAnsi="Times New Roman" w:eastAsia="仿宋_GB2312"/>
          <w:sz w:val="32"/>
          <w:szCs w:val="32"/>
        </w:rPr>
        <w:t>综合防灾规划</w:t>
      </w:r>
      <w:bookmarkEnd w:id="12"/>
    </w:p>
    <w:p>
      <w:pPr>
        <w:pStyle w:val="15"/>
        <w:widowControl w:val="0"/>
        <w:numPr>
          <w:ilvl w:val="0"/>
          <w:numId w:val="1"/>
        </w:numPr>
        <w:tabs>
          <w:tab w:val="left" w:pos="0"/>
        </w:tabs>
        <w:spacing w:before="156" w:beforeLines="50" w:afterLines="0"/>
        <w:ind w:left="0" w:firstLine="0"/>
        <w:rPr>
          <w:rFonts w:ascii="仿宋_GB2312" w:eastAsia="仿宋_GB2312" w:cs="Times New Roman"/>
          <w:b/>
        </w:rPr>
      </w:pPr>
      <w:r>
        <w:rPr>
          <w:rFonts w:hint="eastAsia" w:ascii="仿宋_GB2312" w:eastAsia="仿宋_GB2312" w:cs="Times New Roman"/>
          <w:b/>
        </w:rPr>
        <w:t>规划原则</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按照“平战结合、平灾结合、预防为主、措施有效”的原则，既考虑工程性措施、非工程性对策，又充分考虑灾前防灾、灾时与灾后减灾措施。</w:t>
      </w:r>
    </w:p>
    <w:p>
      <w:pPr>
        <w:pStyle w:val="15"/>
        <w:widowControl w:val="0"/>
        <w:numPr>
          <w:ilvl w:val="0"/>
          <w:numId w:val="1"/>
        </w:numPr>
        <w:tabs>
          <w:tab w:val="left" w:pos="0"/>
        </w:tabs>
        <w:spacing w:before="156" w:beforeLines="50" w:afterLines="0"/>
        <w:ind w:left="0" w:firstLine="0"/>
        <w:rPr>
          <w:rFonts w:ascii="仿宋_GB2312" w:eastAsia="仿宋_GB2312" w:cs="Times New Roman"/>
          <w:b/>
        </w:rPr>
      </w:pPr>
      <w:r>
        <w:rPr>
          <w:rFonts w:hint="eastAsia" w:ascii="仿宋_GB2312" w:eastAsia="仿宋_GB2312" w:cs="Times New Roman"/>
          <w:b/>
        </w:rPr>
        <w:t>防震减灾规划</w:t>
      </w:r>
    </w:p>
    <w:p>
      <w:pPr>
        <w:spacing w:line="360" w:lineRule="auto"/>
        <w:ind w:firstLine="480" w:firstLineChars="200"/>
        <w:rPr>
          <w:rFonts w:hint="default" w:ascii="仿宋_GB2312" w:hAnsi="Times New Roman" w:eastAsia="仿宋_GB2312"/>
          <w:sz w:val="24"/>
          <w:szCs w:val="24"/>
          <w:lang w:val="en-US" w:eastAsia="zh-CN"/>
        </w:rPr>
      </w:pPr>
      <w:r>
        <w:rPr>
          <w:rFonts w:hint="eastAsia" w:ascii="仿宋_GB2312" w:hAnsi="Times New Roman" w:eastAsia="仿宋_GB2312"/>
          <w:sz w:val="24"/>
          <w:szCs w:val="24"/>
          <w:lang w:eastAsia="zh-CN"/>
        </w:rPr>
        <w:t>（</w:t>
      </w:r>
      <w:r>
        <w:rPr>
          <w:rFonts w:hint="eastAsia" w:ascii="仿宋_GB2312" w:hAnsi="Times New Roman" w:eastAsia="仿宋_GB2312"/>
          <w:sz w:val="24"/>
          <w:szCs w:val="24"/>
          <w:lang w:val="en-US" w:eastAsia="zh-CN"/>
        </w:rPr>
        <w:t>1</w:t>
      </w:r>
      <w:r>
        <w:rPr>
          <w:rFonts w:hint="eastAsia" w:ascii="仿宋_GB2312" w:hAnsi="Times New Roman" w:eastAsia="仿宋_GB2312"/>
          <w:sz w:val="24"/>
          <w:szCs w:val="24"/>
          <w:lang w:eastAsia="zh-CN"/>
        </w:rPr>
        <w:t>）</w:t>
      </w:r>
      <w:r>
        <w:rPr>
          <w:rFonts w:hint="eastAsia" w:ascii="仿宋_GB2312" w:hAnsi="Times New Roman" w:eastAsia="仿宋_GB2312"/>
          <w:sz w:val="24"/>
          <w:szCs w:val="24"/>
          <w:lang w:val="en-US" w:eastAsia="zh-CN"/>
        </w:rPr>
        <w:t>设防标准</w:t>
      </w:r>
    </w:p>
    <w:p>
      <w:pPr>
        <w:spacing w:line="360" w:lineRule="auto"/>
        <w:ind w:firstLine="480" w:firstLineChars="200"/>
        <w:rPr>
          <w:rFonts w:hint="eastAsia" w:ascii="仿宋_GB2312" w:hAnsi="Times New Roman" w:eastAsia="仿宋_GB2312"/>
          <w:sz w:val="24"/>
          <w:szCs w:val="24"/>
        </w:rPr>
      </w:pPr>
      <w:r>
        <w:rPr>
          <w:rFonts w:hint="eastAsia" w:ascii="仿宋_GB2312" w:hAnsi="Times New Roman" w:eastAsia="仿宋_GB2312"/>
          <w:sz w:val="24"/>
          <w:szCs w:val="24"/>
        </w:rPr>
        <w:t>《建筑抗震设计规范》（GB50011-2010）把潮安区划为地震基本烈度 8 度区，设计基本地震加速度值为 0.20g。规划期内，本镇一般建筑项目按抗震设防烈度等级 8 度设防，重点工程需按 9 度或地32震评估结论设防。</w:t>
      </w:r>
    </w:p>
    <w:p>
      <w:pPr>
        <w:spacing w:line="360" w:lineRule="auto"/>
        <w:ind w:firstLine="480" w:firstLineChars="200"/>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（2）防震抗震措施</w:t>
      </w:r>
    </w:p>
    <w:p>
      <w:pPr>
        <w:spacing w:line="360" w:lineRule="auto"/>
        <w:ind w:firstLine="480" w:firstLineChars="200"/>
        <w:rPr>
          <w:rFonts w:hint="default" w:ascii="仿宋_GB2312" w:hAnsi="Times New Roman" w:eastAsia="仿宋_GB2312"/>
          <w:sz w:val="24"/>
          <w:szCs w:val="24"/>
          <w:lang w:val="en-US" w:eastAsia="zh-CN"/>
        </w:rPr>
      </w:pPr>
      <w:r>
        <w:rPr>
          <w:rFonts w:hint="default" w:ascii="仿宋_GB2312" w:hAnsi="Times New Roman" w:eastAsia="仿宋_GB2312"/>
          <w:sz w:val="24"/>
          <w:szCs w:val="24"/>
          <w:lang w:val="en-US" w:eastAsia="zh-CN"/>
        </w:rPr>
        <w:t>根据建筑的具体防震抗震要求，公共建筑、楼房住宅、工业厂房要采取有效措施，尽量采用桩基础框架结构，以提高抗震能力；重要的建设工程要做好地震预防评价工作。结合新建或改建建筑留出空旷疏散用地。</w:t>
      </w:r>
    </w:p>
    <w:p>
      <w:pPr>
        <w:pStyle w:val="15"/>
        <w:widowControl w:val="0"/>
        <w:numPr>
          <w:ilvl w:val="0"/>
          <w:numId w:val="1"/>
        </w:numPr>
        <w:tabs>
          <w:tab w:val="left" w:pos="0"/>
        </w:tabs>
        <w:spacing w:before="156" w:beforeLines="50" w:afterLines="0"/>
        <w:ind w:left="0" w:firstLine="422"/>
        <w:rPr>
          <w:rFonts w:ascii="仿宋_GB2312" w:eastAsia="仿宋_GB2312" w:cs="Times New Roman"/>
          <w:b/>
        </w:rPr>
      </w:pPr>
      <w:r>
        <w:rPr>
          <w:rFonts w:hint="eastAsia" w:ascii="仿宋_GB2312" w:eastAsia="仿宋_GB2312" w:cs="Times New Roman"/>
          <w:b/>
          <w:lang w:val="en-US" w:eastAsia="zh-CN"/>
        </w:rPr>
        <w:t>防洪、排涝</w:t>
      </w:r>
      <w:r>
        <w:rPr>
          <w:rFonts w:hint="eastAsia" w:ascii="仿宋_GB2312" w:eastAsia="仿宋_GB2312" w:cs="Times New Roman"/>
          <w:b/>
        </w:rPr>
        <w:t>规划</w:t>
      </w:r>
    </w:p>
    <w:p>
      <w:pPr>
        <w:spacing w:line="360" w:lineRule="auto"/>
        <w:ind w:firstLine="480" w:firstLineChars="200"/>
        <w:rPr>
          <w:rFonts w:hint="default" w:ascii="仿宋_GB2312" w:hAnsi="Times New Roman" w:eastAsia="仿宋_GB2312"/>
          <w:sz w:val="24"/>
          <w:szCs w:val="24"/>
          <w:lang w:val="en-US" w:eastAsia="zh-CN"/>
        </w:rPr>
      </w:pPr>
      <w:r>
        <w:rPr>
          <w:rFonts w:hint="eastAsia" w:ascii="仿宋_GB2312" w:hAnsi="Times New Roman" w:eastAsia="仿宋_GB2312"/>
          <w:sz w:val="24"/>
          <w:szCs w:val="24"/>
          <w:lang w:eastAsia="zh-CN"/>
        </w:rPr>
        <w:t>（</w:t>
      </w:r>
      <w:r>
        <w:rPr>
          <w:rFonts w:hint="eastAsia" w:ascii="仿宋_GB2312" w:hAnsi="Times New Roman" w:eastAsia="仿宋_GB2312"/>
          <w:sz w:val="24"/>
          <w:szCs w:val="24"/>
          <w:lang w:val="en-US" w:eastAsia="zh-CN"/>
        </w:rPr>
        <w:t>1</w:t>
      </w:r>
      <w:r>
        <w:rPr>
          <w:rFonts w:hint="eastAsia" w:ascii="仿宋_GB2312" w:hAnsi="Times New Roman" w:eastAsia="仿宋_GB2312"/>
          <w:sz w:val="24"/>
          <w:szCs w:val="24"/>
          <w:lang w:eastAsia="zh-CN"/>
        </w:rPr>
        <w:t>）</w:t>
      </w:r>
      <w:r>
        <w:rPr>
          <w:rFonts w:hint="eastAsia" w:ascii="仿宋_GB2312" w:hAnsi="Times New Roman" w:eastAsia="仿宋_GB2312"/>
          <w:sz w:val="24"/>
          <w:szCs w:val="24"/>
          <w:lang w:val="en-US" w:eastAsia="zh-CN"/>
        </w:rPr>
        <w:t>防洪与排涝标准</w:t>
      </w:r>
    </w:p>
    <w:p>
      <w:pPr>
        <w:spacing w:line="360" w:lineRule="auto"/>
        <w:ind w:firstLine="480" w:firstLineChars="200"/>
        <w:rPr>
          <w:rFonts w:hint="eastAsia" w:ascii="仿宋_GB2312" w:hAnsi="Times New Roman" w:eastAsia="仿宋_GB2312"/>
          <w:sz w:val="24"/>
          <w:szCs w:val="24"/>
        </w:rPr>
      </w:pPr>
      <w:r>
        <w:rPr>
          <w:rFonts w:hint="eastAsia" w:ascii="仿宋_GB2312" w:hAnsi="Times New Roman" w:eastAsia="仿宋_GB2312"/>
          <w:sz w:val="24"/>
          <w:szCs w:val="24"/>
        </w:rPr>
        <w:t>规划要求防患于未然，做好各种防范措施，尽量把自然灾害造成的损失减少到最低限度。规划片区建设按30年一遇洪水标准设防。</w:t>
      </w:r>
    </w:p>
    <w:p>
      <w:pPr>
        <w:spacing w:line="360" w:lineRule="auto"/>
        <w:ind w:firstLine="480" w:firstLineChars="200"/>
        <w:rPr>
          <w:rFonts w:hint="eastAsia" w:ascii="仿宋_GB2312" w:hAnsi="Times New Roman" w:eastAsia="仿宋_GB2312"/>
          <w:sz w:val="24"/>
          <w:szCs w:val="24"/>
        </w:rPr>
      </w:pPr>
      <w:r>
        <w:rPr>
          <w:rFonts w:hint="eastAsia" w:ascii="仿宋_GB2312" w:hAnsi="Times New Roman" w:eastAsia="仿宋_GB2312"/>
          <w:sz w:val="24"/>
          <w:szCs w:val="24"/>
        </w:rPr>
        <w:t>排涝工程建设是基础设施建设的重要组成部分，主要设施是排水管网，因此排水管网必须完善。治涝标准按省定的涝区 10 年一遇24 小时暴雨所产生的径流量 1—3 天排干至设计水位，即集镇、工业基地、菜地和“三高”农业生产用地 1 天排干，鱼塘区 2 天排干，农田三天排干。</w:t>
      </w:r>
    </w:p>
    <w:p>
      <w:pPr>
        <w:spacing w:line="360" w:lineRule="auto"/>
        <w:ind w:firstLine="480" w:firstLineChars="200"/>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（2）规划措施</w:t>
      </w:r>
    </w:p>
    <w:p>
      <w:pPr>
        <w:spacing w:line="360" w:lineRule="auto"/>
        <w:ind w:firstLine="480" w:firstLineChars="200"/>
        <w:rPr>
          <w:rFonts w:hint="default" w:ascii="仿宋_GB2312" w:hAnsi="Times New Roman" w:eastAsia="仿宋_GB2312"/>
          <w:sz w:val="24"/>
          <w:szCs w:val="24"/>
          <w:lang w:val="en-US" w:eastAsia="zh-CN"/>
        </w:rPr>
      </w:pPr>
      <w:r>
        <w:rPr>
          <w:rFonts w:hint="default" w:ascii="仿宋_GB2312" w:hAnsi="Times New Roman" w:eastAsia="仿宋_GB2312"/>
          <w:sz w:val="24"/>
          <w:szCs w:val="24"/>
          <w:lang w:val="en-US" w:eastAsia="zh-CN"/>
        </w:rPr>
        <w:t>1</w:t>
      </w:r>
      <w:r>
        <w:rPr>
          <w:rFonts w:hint="eastAsia" w:ascii="仿宋_GB2312" w:hAnsi="Times New Roman" w:eastAsia="仿宋_GB2312"/>
          <w:sz w:val="24"/>
          <w:szCs w:val="24"/>
          <w:lang w:val="en-US" w:eastAsia="zh-CN"/>
        </w:rPr>
        <w:t>）</w:t>
      </w:r>
      <w:r>
        <w:rPr>
          <w:rFonts w:hint="default" w:ascii="仿宋_GB2312" w:hAnsi="Times New Roman" w:eastAsia="仿宋_GB2312"/>
          <w:sz w:val="24"/>
          <w:szCs w:val="24"/>
          <w:lang w:val="en-US" w:eastAsia="zh-CN"/>
        </w:rPr>
        <w:t>工程措施</w:t>
      </w:r>
    </w:p>
    <w:p>
      <w:pPr>
        <w:spacing w:line="360" w:lineRule="auto"/>
        <w:ind w:firstLine="480" w:firstLineChars="200"/>
        <w:rPr>
          <w:rFonts w:hint="default" w:ascii="仿宋_GB2312" w:hAnsi="Times New Roman" w:eastAsia="仿宋_GB2312"/>
          <w:sz w:val="24"/>
          <w:szCs w:val="24"/>
          <w:lang w:val="en-US" w:eastAsia="zh-CN"/>
        </w:rPr>
      </w:pPr>
      <w:r>
        <w:rPr>
          <w:rFonts w:hint="default" w:ascii="仿宋_GB2312" w:hAnsi="Times New Roman" w:eastAsia="仿宋_GB2312"/>
          <w:sz w:val="24"/>
          <w:szCs w:val="24"/>
          <w:lang w:val="en-US" w:eastAsia="zh-CN"/>
        </w:rPr>
        <w:t>规划期提高防洪排涝能力的重点放在以下三个方面：</w:t>
      </w:r>
    </w:p>
    <w:p>
      <w:pPr>
        <w:spacing w:line="360" w:lineRule="auto"/>
        <w:ind w:firstLine="480" w:firstLineChars="200"/>
        <w:rPr>
          <w:rFonts w:hint="default" w:ascii="仿宋_GB2312" w:hAnsi="Times New Roman" w:eastAsia="仿宋_GB2312"/>
          <w:sz w:val="24"/>
          <w:szCs w:val="24"/>
          <w:lang w:val="en-US" w:eastAsia="zh-CN"/>
        </w:rPr>
      </w:pPr>
      <w:r>
        <w:rPr>
          <w:rFonts w:hint="default" w:ascii="仿宋_GB2312" w:hAnsi="Times New Roman" w:eastAsia="仿宋_GB2312"/>
          <w:sz w:val="24"/>
          <w:szCs w:val="24"/>
          <w:lang w:val="en-US" w:eastAsia="zh-CN"/>
        </w:rPr>
        <w:t>①加强水土保持工作，严格制止破坏水土的行为，杜绝乱挖乱</w:t>
      </w:r>
    </w:p>
    <w:p>
      <w:pPr>
        <w:spacing w:line="360" w:lineRule="auto"/>
        <w:ind w:firstLine="480" w:firstLineChars="200"/>
        <w:rPr>
          <w:rFonts w:hint="default" w:ascii="仿宋_GB2312" w:hAnsi="Times New Roman" w:eastAsia="仿宋_GB2312"/>
          <w:sz w:val="24"/>
          <w:szCs w:val="24"/>
          <w:lang w:val="en-US" w:eastAsia="zh-CN"/>
        </w:rPr>
      </w:pPr>
      <w:r>
        <w:rPr>
          <w:rFonts w:hint="default" w:ascii="仿宋_GB2312" w:hAnsi="Times New Roman" w:eastAsia="仿宋_GB2312"/>
          <w:sz w:val="24"/>
          <w:szCs w:val="24"/>
          <w:lang w:val="en-US" w:eastAsia="zh-CN"/>
        </w:rPr>
        <w:t>开采；</w:t>
      </w:r>
    </w:p>
    <w:p>
      <w:pPr>
        <w:spacing w:line="360" w:lineRule="auto"/>
        <w:ind w:firstLine="480" w:firstLineChars="200"/>
        <w:rPr>
          <w:rFonts w:hint="default" w:ascii="仿宋_GB2312" w:hAnsi="Times New Roman" w:eastAsia="仿宋_GB2312"/>
          <w:sz w:val="24"/>
          <w:szCs w:val="24"/>
          <w:lang w:val="en-US" w:eastAsia="zh-CN"/>
        </w:rPr>
      </w:pPr>
      <w:r>
        <w:rPr>
          <w:rFonts w:hint="default" w:ascii="仿宋_GB2312" w:hAnsi="Times New Roman" w:eastAsia="仿宋_GB2312"/>
          <w:sz w:val="24"/>
          <w:szCs w:val="24"/>
          <w:lang w:val="en-US" w:eastAsia="zh-CN"/>
        </w:rPr>
        <w:t>②充实排涝设施，提高防洪抗险能力。</w:t>
      </w:r>
    </w:p>
    <w:p>
      <w:pPr>
        <w:spacing w:line="360" w:lineRule="auto"/>
        <w:ind w:firstLine="480" w:firstLineChars="200"/>
        <w:rPr>
          <w:rFonts w:hint="default" w:ascii="仿宋_GB2312" w:hAnsi="Times New Roman" w:eastAsia="仿宋_GB2312"/>
          <w:sz w:val="24"/>
          <w:szCs w:val="24"/>
          <w:lang w:val="en-US" w:eastAsia="zh-CN"/>
        </w:rPr>
      </w:pPr>
      <w:r>
        <w:rPr>
          <w:rFonts w:hint="default" w:ascii="仿宋_GB2312" w:hAnsi="Times New Roman" w:eastAsia="仿宋_GB2312"/>
          <w:sz w:val="24"/>
          <w:szCs w:val="24"/>
          <w:lang w:val="en-US" w:eastAsia="zh-CN"/>
        </w:rPr>
        <w:t>2</w:t>
      </w:r>
      <w:r>
        <w:rPr>
          <w:rFonts w:hint="eastAsia" w:ascii="仿宋_GB2312" w:hAnsi="Times New Roman" w:eastAsia="仿宋_GB2312"/>
          <w:sz w:val="24"/>
          <w:szCs w:val="24"/>
          <w:lang w:val="en-US" w:eastAsia="zh-CN"/>
        </w:rPr>
        <w:t>）</w:t>
      </w:r>
      <w:r>
        <w:rPr>
          <w:rFonts w:hint="default" w:ascii="仿宋_GB2312" w:hAnsi="Times New Roman" w:eastAsia="仿宋_GB2312"/>
          <w:sz w:val="24"/>
          <w:szCs w:val="24"/>
          <w:lang w:val="en-US" w:eastAsia="zh-CN"/>
        </w:rPr>
        <w:t>非工程措施</w:t>
      </w:r>
    </w:p>
    <w:p>
      <w:pPr>
        <w:spacing w:line="360" w:lineRule="auto"/>
        <w:ind w:firstLine="480" w:firstLineChars="200"/>
        <w:rPr>
          <w:rFonts w:hint="default" w:ascii="仿宋_GB2312" w:hAnsi="Times New Roman" w:eastAsia="仿宋_GB2312"/>
          <w:sz w:val="24"/>
          <w:szCs w:val="24"/>
          <w:lang w:val="en-US" w:eastAsia="zh-CN"/>
        </w:rPr>
      </w:pPr>
      <w:r>
        <w:rPr>
          <w:rFonts w:hint="default" w:ascii="仿宋_GB2312" w:hAnsi="Times New Roman" w:eastAsia="仿宋_GB2312"/>
          <w:sz w:val="24"/>
          <w:szCs w:val="24"/>
          <w:lang w:val="en-US" w:eastAsia="zh-CN"/>
        </w:rPr>
        <w:t>① 禁止侵占河道的行为，严禁往河道倾倒垃圾；</w:t>
      </w:r>
    </w:p>
    <w:p>
      <w:pPr>
        <w:spacing w:line="360" w:lineRule="auto"/>
        <w:ind w:firstLine="480" w:firstLineChars="200"/>
        <w:rPr>
          <w:rFonts w:hint="default" w:ascii="仿宋_GB2312" w:hAnsi="Times New Roman" w:eastAsia="仿宋_GB2312"/>
          <w:sz w:val="24"/>
          <w:szCs w:val="24"/>
          <w:lang w:val="en-US" w:eastAsia="zh-CN"/>
        </w:rPr>
      </w:pPr>
      <w:r>
        <w:rPr>
          <w:rFonts w:hint="default" w:ascii="仿宋_GB2312" w:hAnsi="Times New Roman" w:eastAsia="仿宋_GB2312"/>
          <w:sz w:val="24"/>
          <w:szCs w:val="24"/>
          <w:lang w:val="en-US" w:eastAsia="zh-CN"/>
        </w:rPr>
        <w:t>② 落实水利建设资金，重视水利建设；</w:t>
      </w:r>
    </w:p>
    <w:p>
      <w:pPr>
        <w:spacing w:line="360" w:lineRule="auto"/>
        <w:ind w:firstLine="480" w:firstLineChars="200"/>
        <w:rPr>
          <w:rFonts w:hint="default" w:ascii="仿宋_GB2312" w:hAnsi="Times New Roman" w:eastAsia="仿宋_GB2312"/>
          <w:sz w:val="24"/>
          <w:szCs w:val="24"/>
          <w:lang w:val="en-US" w:eastAsia="zh-CN"/>
        </w:rPr>
      </w:pPr>
      <w:r>
        <w:rPr>
          <w:rFonts w:hint="default" w:ascii="仿宋_GB2312" w:hAnsi="Times New Roman" w:eastAsia="仿宋_GB2312"/>
          <w:sz w:val="24"/>
          <w:szCs w:val="24"/>
          <w:lang w:val="en-US" w:eastAsia="zh-CN"/>
        </w:rPr>
        <w:t>③加强宣传教育，提高全民防险意识。</w:t>
      </w:r>
    </w:p>
    <w:p>
      <w:pPr>
        <w:pStyle w:val="15"/>
        <w:widowControl w:val="0"/>
        <w:numPr>
          <w:ilvl w:val="0"/>
          <w:numId w:val="1"/>
        </w:numPr>
        <w:tabs>
          <w:tab w:val="left" w:pos="0"/>
        </w:tabs>
        <w:spacing w:before="156" w:beforeLines="50" w:afterLines="0"/>
        <w:ind w:left="0" w:firstLine="422"/>
        <w:rPr>
          <w:rFonts w:ascii="仿宋_GB2312" w:eastAsia="仿宋_GB2312" w:cs="Times New Roman"/>
          <w:b/>
        </w:rPr>
      </w:pPr>
      <w:r>
        <w:rPr>
          <w:rFonts w:hint="eastAsia" w:ascii="仿宋_GB2312" w:eastAsia="仿宋_GB2312" w:cs="Times New Roman"/>
          <w:b/>
          <w:lang w:val="en-US" w:eastAsia="zh-CN"/>
        </w:rPr>
        <w:t>消防</w:t>
      </w:r>
      <w:r>
        <w:rPr>
          <w:rFonts w:hint="eastAsia" w:ascii="仿宋_GB2312" w:eastAsia="仿宋_GB2312" w:cs="Times New Roman"/>
          <w:b/>
        </w:rPr>
        <w:t>规划</w:t>
      </w:r>
    </w:p>
    <w:p>
      <w:pPr>
        <w:spacing w:line="360" w:lineRule="auto"/>
        <w:ind w:firstLine="480" w:firstLineChars="200"/>
        <w:rPr>
          <w:rFonts w:hint="eastAsia" w:ascii="仿宋_GB2312" w:hAnsi="Times New Roman" w:eastAsia="仿宋_GB2312"/>
          <w:sz w:val="24"/>
          <w:szCs w:val="24"/>
        </w:rPr>
      </w:pPr>
      <w:r>
        <w:rPr>
          <w:rFonts w:hint="eastAsia" w:ascii="仿宋_GB2312" w:hAnsi="Times New Roman" w:eastAsia="仿宋_GB2312"/>
          <w:sz w:val="24"/>
          <w:szCs w:val="24"/>
          <w:lang w:val="en-US" w:eastAsia="zh-CN"/>
        </w:rPr>
        <w:t>规划区内</w:t>
      </w:r>
      <w:r>
        <w:rPr>
          <w:rFonts w:hint="eastAsia" w:ascii="仿宋_GB2312" w:hAnsi="Times New Roman" w:eastAsia="仿宋_GB2312"/>
          <w:sz w:val="24"/>
          <w:szCs w:val="24"/>
        </w:rPr>
        <w:t>严格执行“预防为主、防消结合”的消防工作方针和“以人为本、科学实用、技术先进、经济合理”原则，应从火灾预防、灭火救援等方面满足建设发展的安全需要。</w:t>
      </w:r>
    </w:p>
    <w:p>
      <w:pPr>
        <w:numPr>
          <w:ilvl w:val="0"/>
          <w:numId w:val="4"/>
        </w:numPr>
        <w:spacing w:line="360" w:lineRule="auto"/>
        <w:ind w:firstLine="480" w:firstLineChars="200"/>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消防供水</w:t>
      </w:r>
    </w:p>
    <w:p>
      <w:pPr>
        <w:spacing w:line="360" w:lineRule="auto"/>
        <w:ind w:firstLine="480" w:firstLineChars="200"/>
        <w:rPr>
          <w:rFonts w:hint="default" w:ascii="仿宋_GB2312" w:hAnsi="Times New Roman" w:eastAsia="仿宋_GB2312"/>
          <w:sz w:val="24"/>
          <w:szCs w:val="24"/>
          <w:lang w:val="en-US" w:eastAsia="zh-CN"/>
        </w:rPr>
      </w:pPr>
      <w:r>
        <w:rPr>
          <w:rFonts w:hint="default" w:ascii="仿宋_GB2312" w:hAnsi="Times New Roman" w:eastAsia="仿宋_GB2312"/>
          <w:sz w:val="24"/>
          <w:szCs w:val="24"/>
          <w:lang w:val="en-US" w:eastAsia="zh-CN"/>
        </w:rPr>
        <w:t>消防供水必须采用环状供水，形成主、干环网，在供水规划中，应保证总用水量的 5％为消防用水。室外消防用水采用低压制消火栓形式，消防给水管径不小于 100毫米，消火栓沿规划道路、尽量靠近道路交叉路口布设，布置在主要道路上的消火栓间距不超过 120 米。</w:t>
      </w:r>
    </w:p>
    <w:p>
      <w:pPr>
        <w:numPr>
          <w:ilvl w:val="0"/>
          <w:numId w:val="4"/>
        </w:numPr>
        <w:spacing w:line="360" w:lineRule="auto"/>
        <w:ind w:left="0" w:leftChars="0" w:firstLine="480" w:firstLineChars="200"/>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消防通道</w:t>
      </w:r>
    </w:p>
    <w:p>
      <w:pPr>
        <w:spacing w:line="360" w:lineRule="auto"/>
        <w:ind w:firstLine="480" w:firstLineChars="200"/>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规划区内的道路设计，必须考虑消防方面的要求，当建筑物沿街部分长度超过 150 米或者总长度超过 220 米时，应设穿过建筑物的消防车道；沿街建筑物应设连接街道和内院的通道，其间距不大33于 80 米（可结合楼梯间设置）；建筑物开设的消防车道、净高与净宽均应大于或等于 4 米；消防道路宽度应大于 4 米，净空高度不应小于 4 米；尽端式消防道的回车场尺度应大于等于 18 米×18 米；高层建筑宜设环形消防车道或沿两长边设消防车道。</w:t>
      </w:r>
    </w:p>
    <w:p>
      <w:pPr>
        <w:numPr>
          <w:ilvl w:val="0"/>
          <w:numId w:val="4"/>
        </w:numPr>
        <w:spacing w:line="360" w:lineRule="auto"/>
        <w:ind w:left="0" w:leftChars="0" w:firstLine="480" w:firstLineChars="200"/>
        <w:rPr>
          <w:rFonts w:hint="default"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消防安全布局</w:t>
      </w:r>
    </w:p>
    <w:p>
      <w:pPr>
        <w:spacing w:line="360" w:lineRule="auto"/>
        <w:ind w:firstLine="480" w:firstLineChars="200"/>
        <w:rPr>
          <w:rFonts w:hint="default" w:ascii="仿宋_GB2312" w:hAnsi="Times New Roman" w:eastAsia="仿宋_GB2312"/>
          <w:sz w:val="24"/>
          <w:szCs w:val="24"/>
          <w:lang w:val="en-US" w:eastAsia="zh-CN"/>
        </w:rPr>
      </w:pPr>
      <w:r>
        <w:rPr>
          <w:rFonts w:hint="default" w:ascii="仿宋_GB2312" w:hAnsi="Times New Roman" w:eastAsia="仿宋_GB2312"/>
          <w:sz w:val="24"/>
          <w:szCs w:val="24"/>
          <w:lang w:val="en-US" w:eastAsia="zh-CN"/>
        </w:rPr>
        <w:t>建筑防火间距应严格按《建筑设计防火规范》（GB 50016-2014）中的具体要求来执行；建筑物、建筑构筑物以一、二级耐火等级为主，控制三级建筑，禁止四级建筑，不准易燃简易搭盖；消防设施配备应与具体建设行为相同步，并同时验收；新建大楼必须按规定设置消防箱，完善室内场所、附属设施的自防、自救能力；高层建筑的周围，应设环形消防车道。当设环形车道有困难时，可沿高层建筑的两个长边设置消防车道，当建筑的沿街长度超过 150 米或总长度超过 220 米时，应在适中位置设置穿过建筑的消防车道。</w:t>
      </w:r>
    </w:p>
    <w:p>
      <w:pPr>
        <w:numPr>
          <w:ilvl w:val="0"/>
          <w:numId w:val="0"/>
        </w:numPr>
        <w:spacing w:line="360" w:lineRule="auto"/>
        <w:rPr>
          <w:rFonts w:hint="default" w:ascii="仿宋_GB2312" w:hAnsi="Times New Roman" w:eastAsia="仿宋_GB2312"/>
          <w:sz w:val="24"/>
          <w:szCs w:val="24"/>
          <w:lang w:val="en-US" w:eastAsia="zh-CN"/>
        </w:rPr>
      </w:pPr>
    </w:p>
    <w:p>
      <w:pPr>
        <w:bidi w:val="0"/>
        <w:rPr>
          <w:lang w:eastAsia="zh-CN"/>
        </w:rPr>
      </w:pPr>
      <w:r>
        <w:rPr>
          <w:lang w:eastAsia="zh-CN"/>
        </w:rPr>
        <w:br w:type="page"/>
      </w:r>
    </w:p>
    <w:p>
      <w:pPr>
        <w:pStyle w:val="2"/>
        <w:spacing w:before="120" w:after="480" w:line="360" w:lineRule="auto"/>
        <w:jc w:val="center"/>
        <w:rPr>
          <w:rFonts w:ascii="仿宋_GB2312" w:hAnsi="Times New Roman" w:eastAsia="仿宋_GB2312"/>
          <w:sz w:val="32"/>
          <w:szCs w:val="32"/>
          <w:lang w:eastAsia="zh-CN"/>
        </w:rPr>
      </w:pPr>
      <w:bookmarkStart w:id="13" w:name="_Toc16733"/>
      <w:r>
        <w:rPr>
          <w:rFonts w:hint="eastAsia" w:ascii="仿宋_GB2312" w:hAnsi="Times New Roman" w:eastAsia="仿宋_GB2312"/>
          <w:sz w:val="32"/>
          <w:szCs w:val="32"/>
          <w:lang w:eastAsia="zh-CN"/>
        </w:rPr>
        <w:t>第</w:t>
      </w:r>
      <w:r>
        <w:rPr>
          <w:rFonts w:hint="eastAsia" w:ascii="仿宋_GB2312" w:hAnsi="Times New Roman" w:eastAsia="仿宋_GB2312"/>
          <w:sz w:val="32"/>
          <w:szCs w:val="32"/>
          <w:lang w:val="en-US" w:eastAsia="zh-CN"/>
        </w:rPr>
        <w:t>七</w:t>
      </w:r>
      <w:r>
        <w:rPr>
          <w:rFonts w:hint="eastAsia" w:ascii="仿宋_GB2312" w:hAnsi="Times New Roman" w:eastAsia="仿宋_GB2312"/>
          <w:sz w:val="32"/>
          <w:szCs w:val="32"/>
          <w:lang w:eastAsia="zh-CN"/>
        </w:rPr>
        <w:t xml:space="preserve">章 </w:t>
      </w:r>
      <w:r>
        <w:rPr>
          <w:rFonts w:hint="eastAsia" w:ascii="仿宋_GB2312" w:hAnsi="Times New Roman" w:eastAsia="仿宋_GB2312"/>
          <w:sz w:val="32"/>
          <w:szCs w:val="32"/>
        </w:rPr>
        <w:t>环境保护规划</w:t>
      </w:r>
      <w:bookmarkEnd w:id="13"/>
    </w:p>
    <w:p>
      <w:pPr>
        <w:pStyle w:val="15"/>
        <w:widowControl w:val="0"/>
        <w:numPr>
          <w:ilvl w:val="0"/>
          <w:numId w:val="1"/>
        </w:numPr>
        <w:tabs>
          <w:tab w:val="left" w:pos="0"/>
        </w:tabs>
        <w:spacing w:before="156" w:beforeLines="50" w:afterLines="0"/>
        <w:ind w:left="0" w:firstLine="422"/>
        <w:rPr>
          <w:rFonts w:ascii="仿宋_GB2312" w:eastAsia="仿宋_GB2312" w:cs="Times New Roman"/>
          <w:b/>
        </w:rPr>
      </w:pPr>
      <w:r>
        <w:rPr>
          <w:rFonts w:hint="eastAsia" w:ascii="仿宋_GB2312" w:eastAsia="仿宋_GB2312" w:cs="Times New Roman"/>
          <w:b/>
        </w:rPr>
        <w:t>规划原则</w:t>
      </w:r>
    </w:p>
    <w:p>
      <w:pPr>
        <w:spacing w:line="360" w:lineRule="auto"/>
        <w:ind w:firstLine="480" w:firstLineChars="200"/>
        <w:rPr>
          <w:rFonts w:ascii="仿宋_GB2312" w:eastAsia="仿宋_GB2312" w:hAnsiTheme="minorEastAsia"/>
          <w:sz w:val="24"/>
        </w:rPr>
      </w:pPr>
      <w:r>
        <w:rPr>
          <w:rFonts w:hint="eastAsia" w:ascii="仿宋_GB2312" w:eastAsia="仿宋_GB2312" w:hAnsiTheme="minorEastAsia"/>
          <w:sz w:val="24"/>
        </w:rPr>
        <w:t>坚持社会经济发展和生态环境保护并重原则，坚持生态系统整体优化原则，坚持分区控制，分类指导原则，坚持统筹兼顾、实事求是、因地制宜原则，坚持环境容量、生态承载力有限原则。</w:t>
      </w:r>
    </w:p>
    <w:p>
      <w:pPr>
        <w:pStyle w:val="15"/>
        <w:widowControl w:val="0"/>
        <w:numPr>
          <w:ilvl w:val="0"/>
          <w:numId w:val="1"/>
        </w:numPr>
        <w:tabs>
          <w:tab w:val="left" w:pos="0"/>
        </w:tabs>
        <w:spacing w:before="156" w:beforeLines="50" w:afterLines="0"/>
        <w:ind w:left="0" w:firstLine="422"/>
        <w:rPr>
          <w:rFonts w:ascii="仿宋_GB2312" w:eastAsia="仿宋_GB2312" w:cs="Times New Roman"/>
          <w:b/>
        </w:rPr>
      </w:pPr>
      <w:r>
        <w:rPr>
          <w:rFonts w:hint="eastAsia" w:ascii="仿宋_GB2312" w:eastAsia="仿宋_GB2312" w:cs="Times New Roman"/>
          <w:b/>
        </w:rPr>
        <w:t>大气保护规划</w:t>
      </w:r>
    </w:p>
    <w:p>
      <w:pPr>
        <w:spacing w:line="360" w:lineRule="auto"/>
        <w:ind w:firstLine="480" w:firstLineChars="200"/>
        <w:rPr>
          <w:rFonts w:ascii="仿宋_GB2312" w:eastAsia="仿宋_GB2312" w:hAnsiTheme="minorEastAsia"/>
          <w:sz w:val="24"/>
        </w:rPr>
      </w:pPr>
      <w:r>
        <w:rPr>
          <w:rFonts w:hint="eastAsia" w:ascii="仿宋_GB2312" w:eastAsia="仿宋_GB2312" w:hAnsiTheme="minorEastAsia"/>
          <w:sz w:val="24"/>
        </w:rPr>
        <w:t>规划区范围内整体为环境空气功能区二类区，按照环境空气功能区二类区进行管理。</w:t>
      </w:r>
    </w:p>
    <w:p>
      <w:pPr>
        <w:pStyle w:val="15"/>
        <w:widowControl w:val="0"/>
        <w:numPr>
          <w:ilvl w:val="0"/>
          <w:numId w:val="1"/>
        </w:numPr>
        <w:tabs>
          <w:tab w:val="left" w:pos="0"/>
        </w:tabs>
        <w:spacing w:before="156" w:beforeLines="50" w:afterLines="0"/>
        <w:ind w:left="0" w:firstLine="422"/>
        <w:rPr>
          <w:rFonts w:ascii="仿宋_GB2312" w:eastAsia="仿宋_GB2312" w:cs="Times New Roman"/>
          <w:b/>
        </w:rPr>
      </w:pPr>
      <w:r>
        <w:rPr>
          <w:rFonts w:hint="eastAsia" w:ascii="仿宋_GB2312" w:eastAsia="仿宋_GB2312" w:cs="Times New Roman"/>
          <w:b/>
        </w:rPr>
        <w:t>水体环境保护规划</w:t>
      </w:r>
    </w:p>
    <w:p>
      <w:pPr>
        <w:spacing w:line="360" w:lineRule="auto"/>
        <w:ind w:firstLine="480" w:firstLineChars="200"/>
        <w:rPr>
          <w:rFonts w:ascii="仿宋_GB2312" w:eastAsia="仿宋_GB2312" w:hAnsiTheme="minorEastAsia"/>
          <w:sz w:val="24"/>
        </w:rPr>
      </w:pPr>
      <w:r>
        <w:rPr>
          <w:rFonts w:hint="eastAsia" w:ascii="仿宋_GB2312" w:eastAsia="仿宋_GB2312" w:hAnsiTheme="minorEastAsia"/>
          <w:sz w:val="24"/>
        </w:rPr>
        <w:t>规划区内的河流按照《地表水环境质量标准》（GB3838-2002）的地表水Ⅱ类功能区控制。</w:t>
      </w:r>
    </w:p>
    <w:p>
      <w:pPr>
        <w:pStyle w:val="15"/>
        <w:widowControl w:val="0"/>
        <w:numPr>
          <w:ilvl w:val="0"/>
          <w:numId w:val="1"/>
        </w:numPr>
        <w:tabs>
          <w:tab w:val="left" w:pos="0"/>
        </w:tabs>
        <w:spacing w:before="156" w:beforeLines="50" w:afterLines="0"/>
        <w:ind w:left="0" w:firstLine="422"/>
        <w:rPr>
          <w:rFonts w:ascii="仿宋_GB2312" w:eastAsia="仿宋_GB2312" w:cs="Times New Roman"/>
          <w:b/>
        </w:rPr>
      </w:pPr>
      <w:r>
        <w:rPr>
          <w:rFonts w:hint="eastAsia" w:ascii="仿宋_GB2312" w:eastAsia="仿宋_GB2312" w:cs="Times New Roman"/>
          <w:b/>
        </w:rPr>
        <w:t>声环境控制规划</w:t>
      </w:r>
    </w:p>
    <w:p>
      <w:pPr>
        <w:spacing w:line="360" w:lineRule="auto"/>
        <w:ind w:firstLine="480" w:firstLineChars="200"/>
        <w:rPr>
          <w:rFonts w:ascii="仿宋_GB2312" w:eastAsia="仿宋_GB2312" w:hAnsiTheme="minorEastAsia"/>
          <w:sz w:val="24"/>
        </w:rPr>
      </w:pPr>
      <w:r>
        <w:rPr>
          <w:rFonts w:hint="eastAsia" w:ascii="仿宋_GB2312" w:eastAsia="仿宋_GB2312" w:hAnsiTheme="minorEastAsia"/>
          <w:sz w:val="24"/>
        </w:rPr>
        <w:t>根据《声环境质量标准》（GB3096-2008），结合土地利用规划，划分以下两类声环境功能区域：</w:t>
      </w:r>
    </w:p>
    <w:p>
      <w:pPr>
        <w:spacing w:line="360" w:lineRule="auto"/>
        <w:ind w:firstLine="480" w:firstLineChars="200"/>
        <w:jc w:val="center"/>
        <w:rPr>
          <w:rFonts w:ascii="仿宋_GB2312" w:eastAsia="仿宋_GB2312" w:hAnsiTheme="minorEastAsia"/>
          <w:sz w:val="24"/>
        </w:rPr>
      </w:pPr>
      <w:r>
        <w:rPr>
          <w:rFonts w:hint="eastAsia" w:ascii="仿宋_GB2312" w:eastAsia="仿宋_GB2312" w:hAnsiTheme="minorEastAsia"/>
          <w:sz w:val="24"/>
        </w:rPr>
        <w:t>表</w:t>
      </w:r>
      <w:r>
        <w:rPr>
          <w:rFonts w:hint="eastAsia" w:ascii="仿宋_GB2312" w:eastAsia="仿宋_GB2312" w:hAnsiTheme="minorEastAsia"/>
          <w:sz w:val="24"/>
          <w:lang w:val="en-US" w:eastAsia="zh-CN"/>
        </w:rPr>
        <w:t>7</w:t>
      </w:r>
      <w:r>
        <w:rPr>
          <w:rFonts w:hint="eastAsia" w:ascii="仿宋_GB2312" w:eastAsia="仿宋_GB2312" w:hAnsiTheme="minorEastAsia"/>
          <w:sz w:val="24"/>
        </w:rPr>
        <w:t>-1：声环境功能区划</w:t>
      </w:r>
    </w:p>
    <w:tbl>
      <w:tblPr>
        <w:tblStyle w:val="8"/>
        <w:tblW w:w="8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5244"/>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spacing w:line="300" w:lineRule="auto"/>
              <w:jc w:val="center"/>
              <w:rPr>
                <w:rFonts w:ascii="仿宋_GB2312" w:eastAsia="仿宋_GB2312"/>
                <w:b/>
                <w:bCs/>
                <w:szCs w:val="21"/>
              </w:rPr>
            </w:pPr>
            <w:r>
              <w:rPr>
                <w:rFonts w:hint="eastAsia" w:ascii="仿宋_GB2312" w:hAnsi="宋体" w:eastAsia="仿宋_GB2312"/>
                <w:b/>
                <w:bCs/>
                <w:szCs w:val="21"/>
              </w:rPr>
              <w:t>类别</w:t>
            </w:r>
          </w:p>
        </w:tc>
        <w:tc>
          <w:tcPr>
            <w:tcW w:w="5244" w:type="dxa"/>
          </w:tcPr>
          <w:p>
            <w:pPr>
              <w:spacing w:line="300" w:lineRule="auto"/>
              <w:jc w:val="center"/>
              <w:rPr>
                <w:rFonts w:ascii="仿宋_GB2312" w:eastAsia="仿宋_GB2312"/>
                <w:b/>
                <w:bCs/>
                <w:szCs w:val="21"/>
              </w:rPr>
            </w:pPr>
            <w:r>
              <w:rPr>
                <w:rFonts w:hint="eastAsia" w:ascii="仿宋_GB2312" w:hAnsi="宋体" w:eastAsia="仿宋_GB2312"/>
                <w:b/>
                <w:bCs/>
                <w:szCs w:val="21"/>
              </w:rPr>
              <w:t>适用区域</w:t>
            </w:r>
          </w:p>
        </w:tc>
        <w:tc>
          <w:tcPr>
            <w:tcW w:w="2102" w:type="dxa"/>
          </w:tcPr>
          <w:p>
            <w:pPr>
              <w:spacing w:line="300" w:lineRule="auto"/>
              <w:jc w:val="center"/>
              <w:rPr>
                <w:rFonts w:ascii="仿宋_GB2312" w:eastAsia="仿宋_GB2312"/>
                <w:b/>
                <w:bCs/>
                <w:szCs w:val="21"/>
              </w:rPr>
            </w:pPr>
            <w:r>
              <w:rPr>
                <w:rFonts w:hint="eastAsia" w:ascii="仿宋_GB2312" w:hAnsi="宋体" w:eastAsia="仿宋_GB2312"/>
                <w:b/>
                <w:bCs/>
                <w:szCs w:val="21"/>
              </w:rPr>
              <w:t>噪声标准值（</w:t>
            </w:r>
            <w:r>
              <w:rPr>
                <w:rFonts w:hint="eastAsia" w:ascii="仿宋_GB2312" w:eastAsia="仿宋_GB2312"/>
                <w:b/>
                <w:bCs/>
                <w:szCs w:val="21"/>
              </w:rPr>
              <w:t>dB</w:t>
            </w:r>
            <w:r>
              <w:rPr>
                <w:rFonts w:hint="eastAsia" w:ascii="仿宋_GB2312" w:hAnsi="宋体" w:eastAsia="仿宋_GB2312"/>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300" w:lineRule="auto"/>
              <w:jc w:val="center"/>
              <w:rPr>
                <w:rFonts w:ascii="仿宋_GB2312" w:eastAsia="仿宋_GB2312"/>
                <w:bCs/>
                <w:szCs w:val="21"/>
              </w:rPr>
            </w:pPr>
            <w:r>
              <w:rPr>
                <w:rFonts w:hint="eastAsia" w:ascii="仿宋_GB2312" w:eastAsia="仿宋_GB2312"/>
                <w:bCs/>
                <w:szCs w:val="21"/>
                <w:lang w:val="en-US" w:eastAsia="zh-CN"/>
              </w:rPr>
              <w:t>3</w:t>
            </w:r>
            <w:r>
              <w:rPr>
                <w:rFonts w:hint="eastAsia" w:ascii="仿宋_GB2312" w:hAnsi="宋体" w:eastAsia="仿宋_GB2312"/>
                <w:bCs/>
                <w:szCs w:val="21"/>
              </w:rPr>
              <w:t>类声环境功能区</w:t>
            </w:r>
          </w:p>
        </w:tc>
        <w:tc>
          <w:tcPr>
            <w:tcW w:w="5244" w:type="dxa"/>
            <w:vAlign w:val="center"/>
          </w:tcPr>
          <w:p>
            <w:pPr>
              <w:spacing w:line="300" w:lineRule="auto"/>
              <w:jc w:val="center"/>
              <w:rPr>
                <w:rFonts w:ascii="仿宋_GB2312" w:eastAsia="仿宋_GB2312"/>
                <w:szCs w:val="21"/>
              </w:rPr>
            </w:pPr>
            <w:r>
              <w:rPr>
                <w:rFonts w:hint="eastAsia" w:ascii="仿宋_GB2312" w:hAnsi="宋体" w:eastAsia="仿宋_GB2312"/>
                <w:szCs w:val="21"/>
              </w:rPr>
              <w:t>指以</w:t>
            </w:r>
            <w:r>
              <w:rPr>
                <w:rFonts w:hint="eastAsia" w:ascii="仿宋_GB2312" w:hAnsi="宋体" w:eastAsia="仿宋_GB2312"/>
                <w:szCs w:val="21"/>
                <w:lang w:val="en-US" w:eastAsia="zh-CN"/>
              </w:rPr>
              <w:t>工业生产、仓储物流为主要功能</w:t>
            </w:r>
            <w:r>
              <w:rPr>
                <w:rFonts w:hint="eastAsia" w:ascii="仿宋_GB2312" w:hAnsi="宋体" w:eastAsia="仿宋_GB2312"/>
                <w:szCs w:val="21"/>
              </w:rPr>
              <w:t>，需要</w:t>
            </w:r>
            <w:r>
              <w:rPr>
                <w:rFonts w:hint="eastAsia" w:ascii="仿宋_GB2312" w:hAnsi="宋体" w:eastAsia="仿宋_GB2312"/>
                <w:szCs w:val="21"/>
                <w:lang w:val="en-US" w:eastAsia="zh-CN"/>
              </w:rPr>
              <w:t>防止工业噪声对周围环境产生严重影响</w:t>
            </w:r>
            <w:r>
              <w:rPr>
                <w:rFonts w:hint="eastAsia" w:ascii="仿宋_GB2312" w:hAnsi="宋体" w:eastAsia="仿宋_GB2312"/>
                <w:szCs w:val="21"/>
              </w:rPr>
              <w:t>的区域。</w:t>
            </w:r>
          </w:p>
        </w:tc>
        <w:tc>
          <w:tcPr>
            <w:tcW w:w="2102" w:type="dxa"/>
            <w:vAlign w:val="center"/>
          </w:tcPr>
          <w:p>
            <w:pPr>
              <w:spacing w:line="300" w:lineRule="auto"/>
              <w:jc w:val="center"/>
              <w:rPr>
                <w:rFonts w:hint="eastAsia" w:ascii="仿宋_GB2312" w:eastAsia="仿宋_GB2312"/>
                <w:bCs/>
                <w:szCs w:val="21"/>
                <w:lang w:eastAsia="zh-CN"/>
              </w:rPr>
            </w:pPr>
            <w:r>
              <w:rPr>
                <w:rFonts w:hint="eastAsia" w:ascii="仿宋_GB2312" w:eastAsia="仿宋_GB2312"/>
                <w:bCs/>
                <w:szCs w:val="21"/>
                <w:lang w:val="en-US" w:eastAsia="zh-CN"/>
              </w:rPr>
              <w:t>65</w:t>
            </w:r>
            <w:r>
              <w:rPr>
                <w:rFonts w:hint="eastAsia" w:ascii="仿宋_GB2312" w:eastAsia="仿宋_GB2312"/>
                <w:bCs/>
                <w:szCs w:val="21"/>
              </w:rPr>
              <w:t>/5</w:t>
            </w:r>
            <w:r>
              <w:rPr>
                <w:rFonts w:hint="eastAsia" w:ascii="仿宋_GB2312" w:eastAsia="仿宋_GB2312"/>
                <w:bCs/>
                <w:szCs w:val="21"/>
                <w:lang w:val="en-US" w:eastAsia="zh-CN"/>
              </w:rPr>
              <w:t>5</w:t>
            </w:r>
          </w:p>
        </w:tc>
      </w:tr>
    </w:tbl>
    <w:p/>
    <w:sectPr>
      <w:footerReference r:id="rId5" w:type="default"/>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7815900"/>
      <w:docPartObj>
        <w:docPartGallery w:val="autotext"/>
      </w:docPartObj>
    </w:sdtPr>
    <w:sdtContent>
      <w:p>
        <w:pPr>
          <w:pStyle w:val="5"/>
          <w:jc w:val="center"/>
        </w:pPr>
        <w:r>
          <w:fldChar w:fldCharType="begin"/>
        </w:r>
        <w:r>
          <w:instrText xml:space="preserve">PAGE   \* MERGEFORMAT</w:instrText>
        </w:r>
        <w:r>
          <w:fldChar w:fldCharType="separate"/>
        </w:r>
        <w:r>
          <w:rPr>
            <w:lang w:val="zh-CN"/>
          </w:rPr>
          <w:t>I</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3101588"/>
      <w:docPartObj>
        <w:docPartGallery w:val="autotext"/>
      </w:docPartObj>
    </w:sdtPr>
    <w:sdtContent>
      <w:p>
        <w:pPr>
          <w:pStyle w:val="5"/>
          <w:jc w:val="center"/>
        </w:pPr>
        <w:r>
          <w:fldChar w:fldCharType="begin"/>
        </w:r>
        <w:r>
          <w:instrText xml:space="preserve">PAGE   \* MERGEFORMAT</w:instrText>
        </w:r>
        <w:r>
          <w:fldChar w:fldCharType="separate"/>
        </w:r>
        <w:r>
          <w:rPr>
            <w:lang w:val="zh-CN"/>
          </w:rPr>
          <w:t>17</w:t>
        </w:r>
        <w: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rFonts w:hint="default" w:eastAsiaTheme="minorEastAsia"/>
        <w:lang w:val="en-US" w:eastAsia="zh-CN"/>
      </w:rPr>
    </w:pPr>
    <w:r>
      <w:rPr>
        <w:rFonts w:hint="eastAsia"/>
      </w:rPr>
      <w:t>潮州市潮安区登塘镇</w:t>
    </w:r>
    <w:r>
      <w:rPr>
        <w:rFonts w:hint="eastAsia"/>
        <w:lang w:eastAsia="zh-CN"/>
      </w:rPr>
      <w:t>扬美</w:t>
    </w:r>
    <w:r>
      <w:rPr>
        <w:rFonts w:hint="eastAsia"/>
      </w:rPr>
      <w:t>村南部工业区控制性详细规划</w:t>
    </w:r>
    <w:r>
      <w:t xml:space="preserve">           </w:t>
    </w:r>
    <w:r>
      <w:tab/>
    </w:r>
    <w:r>
      <w:rPr>
        <w:rFonts w:hint="eastAsia"/>
        <w:lang w:val="en-US" w:eastAsia="zh-CN"/>
      </w:rPr>
      <w:t>法定文件（公示稿）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E5002"/>
    <w:multiLevelType w:val="singleLevel"/>
    <w:tmpl w:val="93CE5002"/>
    <w:lvl w:ilvl="0" w:tentative="0">
      <w:start w:val="1"/>
      <w:numFmt w:val="decimal"/>
      <w:suff w:val="nothing"/>
      <w:lvlText w:val="（%1）"/>
      <w:lvlJc w:val="left"/>
    </w:lvl>
  </w:abstractNum>
  <w:abstractNum w:abstractNumId="1">
    <w:nsid w:val="03CF599F"/>
    <w:multiLevelType w:val="multilevel"/>
    <w:tmpl w:val="03CF599F"/>
    <w:lvl w:ilvl="0" w:tentative="0">
      <w:start w:val="1"/>
      <w:numFmt w:val="chineseCountingThousand"/>
      <w:lvlText w:val="第%1条"/>
      <w:lvlJc w:val="left"/>
      <w:pPr>
        <w:ind w:left="846"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5C5C3B3"/>
    <w:multiLevelType w:val="singleLevel"/>
    <w:tmpl w:val="45C5C3B3"/>
    <w:lvl w:ilvl="0" w:tentative="0">
      <w:start w:val="2"/>
      <w:numFmt w:val="decimal"/>
      <w:suff w:val="nothing"/>
      <w:lvlText w:val="（%1）"/>
      <w:lvlJc w:val="left"/>
    </w:lvl>
  </w:abstractNum>
  <w:abstractNum w:abstractNumId="3">
    <w:nsid w:val="593CAEA8"/>
    <w:multiLevelType w:val="singleLevel"/>
    <w:tmpl w:val="593CAEA8"/>
    <w:lvl w:ilvl="0" w:tentative="0">
      <w:start w:val="4"/>
      <w:numFmt w:val="chineseCounting"/>
      <w:suff w:val="space"/>
      <w:lvlText w:val="第%1节"/>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DD"/>
    <w:rsid w:val="00005BE9"/>
    <w:rsid w:val="000235BB"/>
    <w:rsid w:val="00063B14"/>
    <w:rsid w:val="00086A68"/>
    <w:rsid w:val="000871B0"/>
    <w:rsid w:val="00093241"/>
    <w:rsid w:val="000B1792"/>
    <w:rsid w:val="000B6CB4"/>
    <w:rsid w:val="000C7782"/>
    <w:rsid w:val="000D2B24"/>
    <w:rsid w:val="000F5963"/>
    <w:rsid w:val="00100351"/>
    <w:rsid w:val="001031C7"/>
    <w:rsid w:val="0011584B"/>
    <w:rsid w:val="00170E3E"/>
    <w:rsid w:val="001743AC"/>
    <w:rsid w:val="00187D47"/>
    <w:rsid w:val="00196DF7"/>
    <w:rsid w:val="00197FE1"/>
    <w:rsid w:val="001A100D"/>
    <w:rsid w:val="001A2762"/>
    <w:rsid w:val="001A4B1D"/>
    <w:rsid w:val="001B2C97"/>
    <w:rsid w:val="001B5EF2"/>
    <w:rsid w:val="001D7EA1"/>
    <w:rsid w:val="001E4134"/>
    <w:rsid w:val="001E7242"/>
    <w:rsid w:val="001F236A"/>
    <w:rsid w:val="002069A2"/>
    <w:rsid w:val="00211DFF"/>
    <w:rsid w:val="00220965"/>
    <w:rsid w:val="0022415D"/>
    <w:rsid w:val="00232BF7"/>
    <w:rsid w:val="00236640"/>
    <w:rsid w:val="00236D36"/>
    <w:rsid w:val="002753AF"/>
    <w:rsid w:val="00285255"/>
    <w:rsid w:val="00290A9A"/>
    <w:rsid w:val="00292E4B"/>
    <w:rsid w:val="00293A3A"/>
    <w:rsid w:val="00297454"/>
    <w:rsid w:val="00297DC2"/>
    <w:rsid w:val="002A36F8"/>
    <w:rsid w:val="002A5C19"/>
    <w:rsid w:val="002B14C6"/>
    <w:rsid w:val="002B28FA"/>
    <w:rsid w:val="002D059D"/>
    <w:rsid w:val="002D4F57"/>
    <w:rsid w:val="002E3110"/>
    <w:rsid w:val="002F621D"/>
    <w:rsid w:val="00304A8D"/>
    <w:rsid w:val="003078AC"/>
    <w:rsid w:val="003138C3"/>
    <w:rsid w:val="00315105"/>
    <w:rsid w:val="00316A5F"/>
    <w:rsid w:val="003315A1"/>
    <w:rsid w:val="003361E5"/>
    <w:rsid w:val="00344F10"/>
    <w:rsid w:val="0034756E"/>
    <w:rsid w:val="00363AB5"/>
    <w:rsid w:val="0036666A"/>
    <w:rsid w:val="00380758"/>
    <w:rsid w:val="00380D49"/>
    <w:rsid w:val="00397429"/>
    <w:rsid w:val="003A497C"/>
    <w:rsid w:val="003C694D"/>
    <w:rsid w:val="003C796C"/>
    <w:rsid w:val="003F6584"/>
    <w:rsid w:val="00400B52"/>
    <w:rsid w:val="004238CA"/>
    <w:rsid w:val="004242B0"/>
    <w:rsid w:val="00425D89"/>
    <w:rsid w:val="00442836"/>
    <w:rsid w:val="004437DA"/>
    <w:rsid w:val="00446298"/>
    <w:rsid w:val="00450DAC"/>
    <w:rsid w:val="00461D55"/>
    <w:rsid w:val="004670F9"/>
    <w:rsid w:val="004C124B"/>
    <w:rsid w:val="004C5DF6"/>
    <w:rsid w:val="004D235F"/>
    <w:rsid w:val="004D5058"/>
    <w:rsid w:val="004D69DA"/>
    <w:rsid w:val="004E178E"/>
    <w:rsid w:val="004E2D19"/>
    <w:rsid w:val="004F59B6"/>
    <w:rsid w:val="004F65C0"/>
    <w:rsid w:val="005040EE"/>
    <w:rsid w:val="0051041A"/>
    <w:rsid w:val="00514590"/>
    <w:rsid w:val="00520594"/>
    <w:rsid w:val="00522C02"/>
    <w:rsid w:val="00535ECA"/>
    <w:rsid w:val="00537755"/>
    <w:rsid w:val="0054664D"/>
    <w:rsid w:val="00570095"/>
    <w:rsid w:val="005746D4"/>
    <w:rsid w:val="00576FC2"/>
    <w:rsid w:val="0058482D"/>
    <w:rsid w:val="005B6C47"/>
    <w:rsid w:val="005C5980"/>
    <w:rsid w:val="005F2EF2"/>
    <w:rsid w:val="00601B5B"/>
    <w:rsid w:val="006066BF"/>
    <w:rsid w:val="00610EA0"/>
    <w:rsid w:val="0061174B"/>
    <w:rsid w:val="00632747"/>
    <w:rsid w:val="00642B20"/>
    <w:rsid w:val="00643C0C"/>
    <w:rsid w:val="0064745A"/>
    <w:rsid w:val="006517F4"/>
    <w:rsid w:val="00661DA0"/>
    <w:rsid w:val="00671642"/>
    <w:rsid w:val="00686B63"/>
    <w:rsid w:val="00693D6E"/>
    <w:rsid w:val="0069562B"/>
    <w:rsid w:val="00695D28"/>
    <w:rsid w:val="006A3380"/>
    <w:rsid w:val="006A6E71"/>
    <w:rsid w:val="006A7AE3"/>
    <w:rsid w:val="006A7B6C"/>
    <w:rsid w:val="006C67CF"/>
    <w:rsid w:val="006D5A79"/>
    <w:rsid w:val="006D6127"/>
    <w:rsid w:val="006E3181"/>
    <w:rsid w:val="006F1372"/>
    <w:rsid w:val="0072388C"/>
    <w:rsid w:val="00727E9A"/>
    <w:rsid w:val="007310F4"/>
    <w:rsid w:val="00764CB3"/>
    <w:rsid w:val="00772C7C"/>
    <w:rsid w:val="00793E7F"/>
    <w:rsid w:val="007A79BF"/>
    <w:rsid w:val="007C2F95"/>
    <w:rsid w:val="007C4AEF"/>
    <w:rsid w:val="007D010A"/>
    <w:rsid w:val="007D0247"/>
    <w:rsid w:val="007F0297"/>
    <w:rsid w:val="008048DB"/>
    <w:rsid w:val="0080512D"/>
    <w:rsid w:val="0080729D"/>
    <w:rsid w:val="00810B5D"/>
    <w:rsid w:val="0081191A"/>
    <w:rsid w:val="00813AFA"/>
    <w:rsid w:val="00825628"/>
    <w:rsid w:val="0084439D"/>
    <w:rsid w:val="00844815"/>
    <w:rsid w:val="00875EDA"/>
    <w:rsid w:val="0088152F"/>
    <w:rsid w:val="008834D1"/>
    <w:rsid w:val="008920B4"/>
    <w:rsid w:val="008A2EAE"/>
    <w:rsid w:val="008A3E5E"/>
    <w:rsid w:val="008B4B1B"/>
    <w:rsid w:val="008B59C3"/>
    <w:rsid w:val="008B69F6"/>
    <w:rsid w:val="008C1455"/>
    <w:rsid w:val="008D320E"/>
    <w:rsid w:val="008D5859"/>
    <w:rsid w:val="008E502B"/>
    <w:rsid w:val="008F700C"/>
    <w:rsid w:val="00906323"/>
    <w:rsid w:val="009164C3"/>
    <w:rsid w:val="009461F5"/>
    <w:rsid w:val="00950395"/>
    <w:rsid w:val="009510BB"/>
    <w:rsid w:val="00955DE2"/>
    <w:rsid w:val="00967B85"/>
    <w:rsid w:val="00973AC9"/>
    <w:rsid w:val="009917B9"/>
    <w:rsid w:val="009A4843"/>
    <w:rsid w:val="009C1115"/>
    <w:rsid w:val="009D036C"/>
    <w:rsid w:val="009D3803"/>
    <w:rsid w:val="009E1544"/>
    <w:rsid w:val="009E30B2"/>
    <w:rsid w:val="009F541B"/>
    <w:rsid w:val="009F5AA0"/>
    <w:rsid w:val="009F68BC"/>
    <w:rsid w:val="009F7339"/>
    <w:rsid w:val="00A00B9F"/>
    <w:rsid w:val="00A13E9D"/>
    <w:rsid w:val="00A15F12"/>
    <w:rsid w:val="00A31D53"/>
    <w:rsid w:val="00A50430"/>
    <w:rsid w:val="00A57C02"/>
    <w:rsid w:val="00A645B4"/>
    <w:rsid w:val="00A6540E"/>
    <w:rsid w:val="00A817C7"/>
    <w:rsid w:val="00A81838"/>
    <w:rsid w:val="00A9110F"/>
    <w:rsid w:val="00A96916"/>
    <w:rsid w:val="00AA21F3"/>
    <w:rsid w:val="00AD261A"/>
    <w:rsid w:val="00AE664F"/>
    <w:rsid w:val="00AF35B9"/>
    <w:rsid w:val="00B064C6"/>
    <w:rsid w:val="00B1413F"/>
    <w:rsid w:val="00B16919"/>
    <w:rsid w:val="00B329F5"/>
    <w:rsid w:val="00B37682"/>
    <w:rsid w:val="00B46FFB"/>
    <w:rsid w:val="00B506CC"/>
    <w:rsid w:val="00B5315A"/>
    <w:rsid w:val="00B81354"/>
    <w:rsid w:val="00B822DC"/>
    <w:rsid w:val="00B901CB"/>
    <w:rsid w:val="00BA51E8"/>
    <w:rsid w:val="00BB0097"/>
    <w:rsid w:val="00BB1F6B"/>
    <w:rsid w:val="00BC0D7F"/>
    <w:rsid w:val="00BF028F"/>
    <w:rsid w:val="00C03B2C"/>
    <w:rsid w:val="00C17062"/>
    <w:rsid w:val="00C26104"/>
    <w:rsid w:val="00C27DF8"/>
    <w:rsid w:val="00C409AB"/>
    <w:rsid w:val="00C40A10"/>
    <w:rsid w:val="00C70594"/>
    <w:rsid w:val="00C8310F"/>
    <w:rsid w:val="00C93ED1"/>
    <w:rsid w:val="00CB4FB6"/>
    <w:rsid w:val="00CB70F7"/>
    <w:rsid w:val="00CC1B59"/>
    <w:rsid w:val="00CC7315"/>
    <w:rsid w:val="00CC7B2F"/>
    <w:rsid w:val="00CE00E2"/>
    <w:rsid w:val="00D04F1A"/>
    <w:rsid w:val="00D0580B"/>
    <w:rsid w:val="00D241F0"/>
    <w:rsid w:val="00D37B7D"/>
    <w:rsid w:val="00D5047C"/>
    <w:rsid w:val="00D520A2"/>
    <w:rsid w:val="00D56264"/>
    <w:rsid w:val="00D63E28"/>
    <w:rsid w:val="00D71EC4"/>
    <w:rsid w:val="00D729BC"/>
    <w:rsid w:val="00D74332"/>
    <w:rsid w:val="00D76177"/>
    <w:rsid w:val="00D80F43"/>
    <w:rsid w:val="00D82430"/>
    <w:rsid w:val="00D827DD"/>
    <w:rsid w:val="00D85F7D"/>
    <w:rsid w:val="00D9697B"/>
    <w:rsid w:val="00DA16A9"/>
    <w:rsid w:val="00DA1EF2"/>
    <w:rsid w:val="00DB7B5E"/>
    <w:rsid w:val="00DC3E26"/>
    <w:rsid w:val="00DC73EC"/>
    <w:rsid w:val="00DD5AC2"/>
    <w:rsid w:val="00DE3266"/>
    <w:rsid w:val="00DE42CC"/>
    <w:rsid w:val="00DE6741"/>
    <w:rsid w:val="00E043FD"/>
    <w:rsid w:val="00E15D37"/>
    <w:rsid w:val="00E171DC"/>
    <w:rsid w:val="00E44E13"/>
    <w:rsid w:val="00E47EAD"/>
    <w:rsid w:val="00E74112"/>
    <w:rsid w:val="00E74A8E"/>
    <w:rsid w:val="00E846E3"/>
    <w:rsid w:val="00E909D8"/>
    <w:rsid w:val="00EA1B19"/>
    <w:rsid w:val="00EA335D"/>
    <w:rsid w:val="00EC43B5"/>
    <w:rsid w:val="00ED352B"/>
    <w:rsid w:val="00EE1E2D"/>
    <w:rsid w:val="00EE7DD3"/>
    <w:rsid w:val="00EF057F"/>
    <w:rsid w:val="00EF5086"/>
    <w:rsid w:val="00F04B53"/>
    <w:rsid w:val="00F11079"/>
    <w:rsid w:val="00F172F5"/>
    <w:rsid w:val="00F239EF"/>
    <w:rsid w:val="00F4571D"/>
    <w:rsid w:val="00F61F6E"/>
    <w:rsid w:val="00F62D52"/>
    <w:rsid w:val="00FB1DB3"/>
    <w:rsid w:val="00FC1090"/>
    <w:rsid w:val="00FD2289"/>
    <w:rsid w:val="00FD35B0"/>
    <w:rsid w:val="00FE7751"/>
    <w:rsid w:val="00FF63E0"/>
    <w:rsid w:val="00FF7AC8"/>
    <w:rsid w:val="12BC511F"/>
    <w:rsid w:val="1863316F"/>
    <w:rsid w:val="1A5107B3"/>
    <w:rsid w:val="2CA64CAC"/>
    <w:rsid w:val="35360535"/>
    <w:rsid w:val="3DC54587"/>
    <w:rsid w:val="3E980695"/>
    <w:rsid w:val="475B7FB1"/>
    <w:rsid w:val="47FB5DE9"/>
    <w:rsid w:val="4F8046B5"/>
    <w:rsid w:val="4FF86B59"/>
    <w:rsid w:val="56943ACF"/>
    <w:rsid w:val="5B133480"/>
    <w:rsid w:val="5D2F35AB"/>
    <w:rsid w:val="5D870B6F"/>
    <w:rsid w:val="601322D9"/>
    <w:rsid w:val="62F97914"/>
    <w:rsid w:val="63473A03"/>
    <w:rsid w:val="69FF22DC"/>
    <w:rsid w:val="6A7E40A4"/>
    <w:rsid w:val="75B018EB"/>
    <w:rsid w:val="775D5698"/>
    <w:rsid w:val="79144214"/>
    <w:rsid w:val="7F817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rFonts w:ascii="Calibri" w:hAnsi="Calibri" w:eastAsia="宋体" w:cs="Times New Roman"/>
      <w:b/>
      <w:bCs/>
      <w:kern w:val="44"/>
      <w:sz w:val="44"/>
      <w:szCs w:val="44"/>
      <w:lang w:val="zh-CN" w:eastAsia="zh-CN"/>
    </w:rPr>
  </w:style>
  <w:style w:type="paragraph" w:styleId="3">
    <w:name w:val="heading 2"/>
    <w:basedOn w:val="1"/>
    <w:next w:val="1"/>
    <w:link w:val="20"/>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1"/>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pPr>
      <w:tabs>
        <w:tab w:val="right" w:leader="dot" w:pos="8296"/>
      </w:tabs>
      <w:spacing w:line="360" w:lineRule="auto"/>
      <w:jc w:val="center"/>
    </w:pPr>
    <w:rPr>
      <w:rFonts w:ascii="仿宋_GB2312" w:eastAsia="仿宋_GB2312"/>
      <w:sz w:val="2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customStyle="1" w:styleId="12">
    <w:name w:val="页眉 字符"/>
    <w:basedOn w:val="10"/>
    <w:link w:val="6"/>
    <w:qFormat/>
    <w:uiPriority w:val="0"/>
    <w:rPr>
      <w:sz w:val="18"/>
      <w:szCs w:val="18"/>
    </w:rPr>
  </w:style>
  <w:style w:type="character" w:customStyle="1" w:styleId="13">
    <w:name w:val="页脚 字符"/>
    <w:basedOn w:val="10"/>
    <w:link w:val="5"/>
    <w:qFormat/>
    <w:uiPriority w:val="99"/>
    <w:rPr>
      <w:sz w:val="18"/>
      <w:szCs w:val="18"/>
    </w:rPr>
  </w:style>
  <w:style w:type="character" w:customStyle="1" w:styleId="14">
    <w:name w:val="标题 1 字符"/>
    <w:basedOn w:val="10"/>
    <w:link w:val="2"/>
    <w:qFormat/>
    <w:uiPriority w:val="9"/>
    <w:rPr>
      <w:rFonts w:ascii="Calibri" w:hAnsi="Calibri" w:eastAsia="宋体" w:cs="Times New Roman"/>
      <w:b/>
      <w:bCs/>
      <w:kern w:val="44"/>
      <w:sz w:val="44"/>
      <w:szCs w:val="44"/>
      <w:lang w:val="zh-CN" w:eastAsia="zh-CN"/>
    </w:rPr>
  </w:style>
  <w:style w:type="paragraph" w:customStyle="1" w:styleId="15">
    <w:name w:val="样式 样式 标题 3 + 首行缩进:  2 字符 + 首行缩进:  2 字符 段后: 0.5 行"/>
    <w:basedOn w:val="1"/>
    <w:qFormat/>
    <w:uiPriority w:val="0"/>
    <w:pPr>
      <w:keepLines/>
      <w:widowControl/>
      <w:spacing w:before="60" w:afterLines="30" w:line="360" w:lineRule="auto"/>
      <w:outlineLvl w:val="2"/>
    </w:pPr>
    <w:rPr>
      <w:rFonts w:ascii="Times New Roman" w:hAnsi="Times New Roman" w:eastAsia="华文仿宋" w:cs="宋体"/>
      <w:sz w:val="24"/>
      <w:szCs w:val="24"/>
    </w:rPr>
  </w:style>
  <w:style w:type="paragraph" w:styleId="16">
    <w:name w:val="List Paragraph"/>
    <w:basedOn w:val="1"/>
    <w:qFormat/>
    <w:uiPriority w:val="34"/>
    <w:pPr>
      <w:ind w:firstLine="420" w:firstLineChars="200"/>
    </w:pPr>
  </w:style>
  <w:style w:type="paragraph" w:customStyle="1" w:styleId="17">
    <w:name w:val="05正文"/>
    <w:basedOn w:val="1"/>
    <w:qFormat/>
    <w:uiPriority w:val="0"/>
    <w:pPr>
      <w:spacing w:line="360" w:lineRule="auto"/>
      <w:ind w:firstLine="480" w:firstLineChars="200"/>
      <w:jc w:val="left"/>
    </w:pPr>
    <w:rPr>
      <w:rFonts w:ascii="宋体" w:hAnsi="宋体" w:eastAsia="宋体" w:cs="Times New Roman"/>
      <w:color w:val="000000"/>
      <w:sz w:val="24"/>
    </w:rPr>
  </w:style>
  <w:style w:type="paragraph" w:styleId="18">
    <w:name w:val="No Spacing"/>
    <w:link w:val="19"/>
    <w:qFormat/>
    <w:uiPriority w:val="1"/>
    <w:rPr>
      <w:rFonts w:asciiTheme="minorHAnsi" w:hAnsiTheme="minorHAnsi" w:eastAsiaTheme="minorEastAsia" w:cstheme="minorBidi"/>
      <w:kern w:val="0"/>
      <w:sz w:val="22"/>
      <w:szCs w:val="22"/>
      <w:lang w:val="en-US" w:eastAsia="zh-CN" w:bidi="ar-SA"/>
    </w:rPr>
  </w:style>
  <w:style w:type="character" w:customStyle="1" w:styleId="19">
    <w:name w:val="无间隔 字符"/>
    <w:basedOn w:val="10"/>
    <w:link w:val="18"/>
    <w:qFormat/>
    <w:uiPriority w:val="1"/>
    <w:rPr>
      <w:kern w:val="0"/>
      <w:sz w:val="22"/>
    </w:rPr>
  </w:style>
  <w:style w:type="character" w:customStyle="1" w:styleId="20">
    <w:name w:val="标题 2 字符"/>
    <w:basedOn w:val="10"/>
    <w:link w:val="3"/>
    <w:qFormat/>
    <w:uiPriority w:val="9"/>
    <w:rPr>
      <w:rFonts w:ascii="Cambria" w:hAnsi="Cambria" w:eastAsia="宋体" w:cs="Times New Roman"/>
      <w:b/>
      <w:bCs/>
      <w:sz w:val="32"/>
      <w:szCs w:val="32"/>
    </w:rPr>
  </w:style>
  <w:style w:type="character" w:customStyle="1" w:styleId="21">
    <w:name w:val="批注框文本 字符"/>
    <w:basedOn w:val="10"/>
    <w:link w:val="4"/>
    <w:semiHidden/>
    <w:qFormat/>
    <w:uiPriority w:val="99"/>
    <w:rPr>
      <w:sz w:val="18"/>
      <w:szCs w:val="18"/>
    </w:rPr>
  </w:style>
  <w:style w:type="paragraph" w:customStyle="1" w:styleId="22">
    <w:name w:val="文本正文"/>
    <w:basedOn w:val="1"/>
    <w:link w:val="23"/>
    <w:qFormat/>
    <w:uiPriority w:val="0"/>
    <w:pPr>
      <w:spacing w:afterLines="50" w:line="360" w:lineRule="auto"/>
      <w:ind w:firstLine="200" w:firstLineChars="200"/>
    </w:pPr>
    <w:rPr>
      <w:rFonts w:ascii="Calibri" w:hAnsi="Calibri" w:eastAsia="宋体" w:cs="Times New Roman"/>
      <w:sz w:val="24"/>
      <w:szCs w:val="24"/>
    </w:rPr>
  </w:style>
  <w:style w:type="character" w:customStyle="1" w:styleId="23">
    <w:name w:val="文本正文 Char"/>
    <w:link w:val="22"/>
    <w:qFormat/>
    <w:uiPriority w:val="0"/>
    <w:rPr>
      <w:rFonts w:ascii="Calibri" w:hAnsi="Calibri" w:eastAsia="宋体"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0A7212-5B61-4980-BAC2-84EF0AC329C8}">
  <ds:schemaRefs/>
</ds:datastoreItem>
</file>

<file path=docProps/app.xml><?xml version="1.0" encoding="utf-8"?>
<Properties xmlns="http://schemas.openxmlformats.org/officeDocument/2006/extended-properties" xmlns:vt="http://schemas.openxmlformats.org/officeDocument/2006/docPropsVTypes">
  <Template>Normal</Template>
  <Pages>14</Pages>
  <Words>5326</Words>
  <Characters>5766</Characters>
  <Lines>68</Lines>
  <Paragraphs>19</Paragraphs>
  <TotalTime>3</TotalTime>
  <ScaleCrop>false</ScaleCrop>
  <LinksUpToDate>false</LinksUpToDate>
  <CharactersWithSpaces>5864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2017-07-05T14:02:00Z</dcterms:created>
  <dc:creator>王飞</dc:creator>
  <cp:lastModifiedBy>子蚁今</cp:lastModifiedBy>
  <cp:lastPrinted>2020-06-04T07:27:00Z</cp:lastPrinted>
  <dcterms:modified xsi:type="dcterms:W3CDTF">2022-04-13T01:28:04Z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28F6DDDF53AF49CCA2DCB1F125A8733B</vt:lpwstr>
  </property>
</Properties>
</file>