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A7" w:rsidRDefault="00EC47A7" w:rsidP="00EC47A7">
      <w:pPr>
        <w:pStyle w:val="10"/>
        <w:rPr>
          <w:b/>
        </w:rPr>
      </w:pPr>
      <w:bookmarkStart w:id="0" w:name="_Toc387829825"/>
      <w:r>
        <w:rPr>
          <w:rFonts w:hint="eastAsia"/>
          <w:b/>
        </w:rPr>
        <w:t>目  录</w:t>
      </w:r>
    </w:p>
    <w:p w:rsidR="00957CD7" w:rsidRDefault="00EC47A7">
      <w:pPr>
        <w:pStyle w:val="10"/>
        <w:rPr>
          <w:rFonts w:asciiTheme="minorHAnsi" w:eastAsiaTheme="minorEastAsia"/>
          <w:noProof/>
          <w:sz w:val="21"/>
        </w:rPr>
      </w:pPr>
      <w:r>
        <w:rPr>
          <w:rFonts w:hAnsi="Times New Roman" w:hint="eastAsia"/>
        </w:rPr>
        <w:fldChar w:fldCharType="begin"/>
      </w:r>
      <w:r>
        <w:rPr>
          <w:rFonts w:hAnsi="Times New Roman" w:hint="eastAsia"/>
        </w:rPr>
        <w:instrText xml:space="preserve"> TOC \o "1-1" \h \z \u </w:instrText>
      </w:r>
      <w:r>
        <w:rPr>
          <w:rFonts w:hAnsi="Times New Roman" w:hint="eastAsia"/>
        </w:rPr>
        <w:fldChar w:fldCharType="separate"/>
      </w:r>
      <w:hyperlink w:anchor="_Toc107565790" w:history="1">
        <w:r w:rsidR="00957CD7" w:rsidRPr="00AE56C9">
          <w:rPr>
            <w:rStyle w:val="a5"/>
            <w:rFonts w:hAnsi="Times New Roman" w:hint="eastAsia"/>
            <w:noProof/>
          </w:rPr>
          <w:t>第一章</w:t>
        </w:r>
        <w:r w:rsidR="00957CD7" w:rsidRPr="00AE56C9">
          <w:rPr>
            <w:rStyle w:val="a5"/>
            <w:rFonts w:hAnsi="Times New Roman"/>
            <w:noProof/>
          </w:rPr>
          <w:t xml:space="preserve">  </w:t>
        </w:r>
        <w:r w:rsidR="00957CD7" w:rsidRPr="00AE56C9">
          <w:rPr>
            <w:rStyle w:val="a5"/>
            <w:rFonts w:hAnsi="Times New Roman" w:hint="eastAsia"/>
            <w:noProof/>
          </w:rPr>
          <w:t>总则</w:t>
        </w:r>
        <w:r w:rsidR="00957CD7">
          <w:rPr>
            <w:noProof/>
            <w:webHidden/>
          </w:rPr>
          <w:tab/>
        </w:r>
        <w:r w:rsidR="00957CD7">
          <w:rPr>
            <w:noProof/>
            <w:webHidden/>
          </w:rPr>
          <w:fldChar w:fldCharType="begin"/>
        </w:r>
        <w:r w:rsidR="00957CD7">
          <w:rPr>
            <w:noProof/>
            <w:webHidden/>
          </w:rPr>
          <w:instrText xml:space="preserve"> PAGEREF _Toc107565790 \h </w:instrText>
        </w:r>
        <w:r w:rsidR="00957CD7">
          <w:rPr>
            <w:noProof/>
            <w:webHidden/>
          </w:rPr>
        </w:r>
        <w:r w:rsidR="00957CD7">
          <w:rPr>
            <w:noProof/>
            <w:webHidden/>
          </w:rPr>
          <w:fldChar w:fldCharType="separate"/>
        </w:r>
        <w:r w:rsidR="00CE1A15">
          <w:rPr>
            <w:noProof/>
            <w:webHidden/>
          </w:rPr>
          <w:t>1</w:t>
        </w:r>
        <w:r w:rsidR="00957CD7">
          <w:rPr>
            <w:noProof/>
            <w:webHidden/>
          </w:rPr>
          <w:fldChar w:fldCharType="end"/>
        </w:r>
      </w:hyperlink>
    </w:p>
    <w:p w:rsidR="00957CD7" w:rsidRDefault="005F0372">
      <w:pPr>
        <w:pStyle w:val="10"/>
        <w:rPr>
          <w:rFonts w:asciiTheme="minorHAnsi" w:eastAsiaTheme="minorEastAsia"/>
          <w:noProof/>
          <w:sz w:val="21"/>
        </w:rPr>
      </w:pPr>
      <w:hyperlink w:anchor="_Toc107565791" w:history="1">
        <w:r w:rsidR="00957CD7" w:rsidRPr="00AE56C9">
          <w:rPr>
            <w:rStyle w:val="a5"/>
            <w:rFonts w:hAnsi="Times New Roman" w:hint="eastAsia"/>
            <w:noProof/>
          </w:rPr>
          <w:t>第二章</w:t>
        </w:r>
        <w:r w:rsidR="00957CD7" w:rsidRPr="00AE56C9">
          <w:rPr>
            <w:rStyle w:val="a5"/>
            <w:rFonts w:hAnsi="Times New Roman"/>
            <w:noProof/>
          </w:rPr>
          <w:t xml:space="preserve">  </w:t>
        </w:r>
        <w:r w:rsidR="00957CD7" w:rsidRPr="00AE56C9">
          <w:rPr>
            <w:rStyle w:val="a5"/>
            <w:rFonts w:hAnsi="Times New Roman" w:hint="eastAsia"/>
            <w:noProof/>
          </w:rPr>
          <w:t>用地规模与布局</w:t>
        </w:r>
        <w:r w:rsidR="00957CD7">
          <w:rPr>
            <w:noProof/>
            <w:webHidden/>
          </w:rPr>
          <w:tab/>
        </w:r>
        <w:r w:rsidR="00957CD7">
          <w:rPr>
            <w:noProof/>
            <w:webHidden/>
          </w:rPr>
          <w:fldChar w:fldCharType="begin"/>
        </w:r>
        <w:r w:rsidR="00957CD7">
          <w:rPr>
            <w:noProof/>
            <w:webHidden/>
          </w:rPr>
          <w:instrText xml:space="preserve"> PAGEREF _Toc107565791 \h </w:instrText>
        </w:r>
        <w:r w:rsidR="00957CD7">
          <w:rPr>
            <w:noProof/>
            <w:webHidden/>
          </w:rPr>
        </w:r>
        <w:r w:rsidR="00957CD7">
          <w:rPr>
            <w:noProof/>
            <w:webHidden/>
          </w:rPr>
          <w:fldChar w:fldCharType="separate"/>
        </w:r>
        <w:r w:rsidR="00CE1A15">
          <w:rPr>
            <w:noProof/>
            <w:webHidden/>
          </w:rPr>
          <w:t>3</w:t>
        </w:r>
        <w:r w:rsidR="00957CD7">
          <w:rPr>
            <w:noProof/>
            <w:webHidden/>
          </w:rPr>
          <w:fldChar w:fldCharType="end"/>
        </w:r>
      </w:hyperlink>
    </w:p>
    <w:p w:rsidR="00957CD7" w:rsidRDefault="005F0372">
      <w:pPr>
        <w:pStyle w:val="10"/>
        <w:rPr>
          <w:rFonts w:asciiTheme="minorHAnsi" w:eastAsiaTheme="minorEastAsia"/>
          <w:noProof/>
          <w:sz w:val="21"/>
        </w:rPr>
      </w:pPr>
      <w:hyperlink w:anchor="_Toc107565792" w:history="1">
        <w:r w:rsidR="00957CD7" w:rsidRPr="00AE56C9">
          <w:rPr>
            <w:rStyle w:val="a5"/>
            <w:rFonts w:hAnsi="Times New Roman" w:hint="eastAsia"/>
            <w:noProof/>
          </w:rPr>
          <w:t>第三章</w:t>
        </w:r>
        <w:r w:rsidR="00957CD7" w:rsidRPr="00AE56C9">
          <w:rPr>
            <w:rStyle w:val="a5"/>
            <w:rFonts w:hAnsi="Times New Roman"/>
            <w:noProof/>
          </w:rPr>
          <w:t xml:space="preserve">  </w:t>
        </w:r>
        <w:r w:rsidR="00957CD7" w:rsidRPr="00AE56C9">
          <w:rPr>
            <w:rStyle w:val="a5"/>
            <w:rFonts w:hAnsi="Times New Roman" w:hint="eastAsia"/>
            <w:noProof/>
          </w:rPr>
          <w:t>地块划分与控制</w:t>
        </w:r>
        <w:r w:rsidR="00957CD7">
          <w:rPr>
            <w:noProof/>
            <w:webHidden/>
          </w:rPr>
          <w:tab/>
        </w:r>
        <w:r w:rsidR="00957CD7">
          <w:rPr>
            <w:noProof/>
            <w:webHidden/>
          </w:rPr>
          <w:fldChar w:fldCharType="begin"/>
        </w:r>
        <w:r w:rsidR="00957CD7">
          <w:rPr>
            <w:noProof/>
            <w:webHidden/>
          </w:rPr>
          <w:instrText xml:space="preserve"> PAGEREF _Toc107565792 \h </w:instrText>
        </w:r>
        <w:r w:rsidR="00957CD7">
          <w:rPr>
            <w:noProof/>
            <w:webHidden/>
          </w:rPr>
        </w:r>
        <w:r w:rsidR="00957CD7">
          <w:rPr>
            <w:noProof/>
            <w:webHidden/>
          </w:rPr>
          <w:fldChar w:fldCharType="separate"/>
        </w:r>
        <w:r w:rsidR="00CE1A15">
          <w:rPr>
            <w:noProof/>
            <w:webHidden/>
          </w:rPr>
          <w:t>3</w:t>
        </w:r>
        <w:r w:rsidR="00957CD7">
          <w:rPr>
            <w:noProof/>
            <w:webHidden/>
          </w:rPr>
          <w:fldChar w:fldCharType="end"/>
        </w:r>
      </w:hyperlink>
    </w:p>
    <w:p w:rsidR="00957CD7" w:rsidRDefault="005F0372">
      <w:pPr>
        <w:pStyle w:val="10"/>
        <w:rPr>
          <w:rFonts w:asciiTheme="minorHAnsi" w:eastAsiaTheme="minorEastAsia"/>
          <w:noProof/>
          <w:sz w:val="21"/>
        </w:rPr>
      </w:pPr>
      <w:hyperlink w:anchor="_Toc107565793" w:history="1">
        <w:r w:rsidR="00957CD7" w:rsidRPr="00AE56C9">
          <w:rPr>
            <w:rStyle w:val="a5"/>
            <w:rFonts w:hAnsi="Times New Roman" w:hint="eastAsia"/>
            <w:noProof/>
          </w:rPr>
          <w:t>第四章</w:t>
        </w:r>
        <w:r w:rsidR="00957CD7" w:rsidRPr="00AE56C9">
          <w:rPr>
            <w:rStyle w:val="a5"/>
            <w:rFonts w:hAnsi="Times New Roman"/>
            <w:noProof/>
          </w:rPr>
          <w:t xml:space="preserve">  </w:t>
        </w:r>
        <w:r w:rsidR="00957CD7" w:rsidRPr="00AE56C9">
          <w:rPr>
            <w:rStyle w:val="a5"/>
            <w:rFonts w:hAnsi="Times New Roman" w:hint="eastAsia"/>
            <w:noProof/>
          </w:rPr>
          <w:t>道路系统规划</w:t>
        </w:r>
        <w:r w:rsidR="00957CD7">
          <w:rPr>
            <w:noProof/>
            <w:webHidden/>
          </w:rPr>
          <w:tab/>
        </w:r>
        <w:r w:rsidR="00957CD7">
          <w:rPr>
            <w:noProof/>
            <w:webHidden/>
          </w:rPr>
          <w:fldChar w:fldCharType="begin"/>
        </w:r>
        <w:r w:rsidR="00957CD7">
          <w:rPr>
            <w:noProof/>
            <w:webHidden/>
          </w:rPr>
          <w:instrText xml:space="preserve"> PAGEREF _Toc107565793 \h </w:instrText>
        </w:r>
        <w:r w:rsidR="00957CD7">
          <w:rPr>
            <w:noProof/>
            <w:webHidden/>
          </w:rPr>
        </w:r>
        <w:r w:rsidR="00957CD7">
          <w:rPr>
            <w:noProof/>
            <w:webHidden/>
          </w:rPr>
          <w:fldChar w:fldCharType="separate"/>
        </w:r>
        <w:r w:rsidR="00CE1A15">
          <w:rPr>
            <w:noProof/>
            <w:webHidden/>
          </w:rPr>
          <w:t>6</w:t>
        </w:r>
        <w:r w:rsidR="00957CD7">
          <w:rPr>
            <w:noProof/>
            <w:webHidden/>
          </w:rPr>
          <w:fldChar w:fldCharType="end"/>
        </w:r>
      </w:hyperlink>
    </w:p>
    <w:p w:rsidR="00957CD7" w:rsidRDefault="005F0372">
      <w:pPr>
        <w:pStyle w:val="10"/>
        <w:rPr>
          <w:rFonts w:asciiTheme="minorHAnsi" w:eastAsiaTheme="minorEastAsia"/>
          <w:noProof/>
          <w:sz w:val="21"/>
        </w:rPr>
      </w:pPr>
      <w:hyperlink w:anchor="_Toc107565794" w:history="1">
        <w:r w:rsidR="00957CD7" w:rsidRPr="00AE56C9">
          <w:rPr>
            <w:rStyle w:val="a5"/>
            <w:rFonts w:hAnsi="Times New Roman" w:hint="eastAsia"/>
            <w:noProof/>
          </w:rPr>
          <w:t>第五章</w:t>
        </w:r>
        <w:r w:rsidR="00957CD7" w:rsidRPr="00AE56C9">
          <w:rPr>
            <w:rStyle w:val="a5"/>
            <w:rFonts w:hAnsi="Times New Roman"/>
            <w:noProof/>
          </w:rPr>
          <w:t xml:space="preserve">  </w:t>
        </w:r>
        <w:r w:rsidR="00957CD7" w:rsidRPr="00AE56C9">
          <w:rPr>
            <w:rStyle w:val="a5"/>
            <w:rFonts w:hAnsi="Times New Roman" w:hint="eastAsia"/>
            <w:noProof/>
          </w:rPr>
          <w:t>市政基础设施规划</w:t>
        </w:r>
        <w:r w:rsidR="00957CD7">
          <w:rPr>
            <w:noProof/>
            <w:webHidden/>
          </w:rPr>
          <w:tab/>
        </w:r>
        <w:r w:rsidR="00957CD7">
          <w:rPr>
            <w:noProof/>
            <w:webHidden/>
          </w:rPr>
          <w:fldChar w:fldCharType="begin"/>
        </w:r>
        <w:r w:rsidR="00957CD7">
          <w:rPr>
            <w:noProof/>
            <w:webHidden/>
          </w:rPr>
          <w:instrText xml:space="preserve"> PAGEREF _Toc107565794 \h </w:instrText>
        </w:r>
        <w:r w:rsidR="00957CD7">
          <w:rPr>
            <w:noProof/>
            <w:webHidden/>
          </w:rPr>
        </w:r>
        <w:r w:rsidR="00957CD7">
          <w:rPr>
            <w:noProof/>
            <w:webHidden/>
          </w:rPr>
          <w:fldChar w:fldCharType="separate"/>
        </w:r>
        <w:r w:rsidR="00CE1A15">
          <w:rPr>
            <w:noProof/>
            <w:webHidden/>
          </w:rPr>
          <w:t>7</w:t>
        </w:r>
        <w:r w:rsidR="00957CD7">
          <w:rPr>
            <w:noProof/>
            <w:webHidden/>
          </w:rPr>
          <w:fldChar w:fldCharType="end"/>
        </w:r>
      </w:hyperlink>
    </w:p>
    <w:p w:rsidR="00957CD7" w:rsidRDefault="005F0372">
      <w:pPr>
        <w:pStyle w:val="10"/>
        <w:rPr>
          <w:rFonts w:asciiTheme="minorHAnsi" w:eastAsiaTheme="minorEastAsia"/>
          <w:noProof/>
          <w:sz w:val="21"/>
        </w:rPr>
      </w:pPr>
      <w:hyperlink w:anchor="_Toc107565795" w:history="1">
        <w:r w:rsidR="00957CD7" w:rsidRPr="00AE56C9">
          <w:rPr>
            <w:rStyle w:val="a5"/>
            <w:rFonts w:hAnsi="Times New Roman" w:hint="eastAsia"/>
            <w:noProof/>
          </w:rPr>
          <w:t>第六章</w:t>
        </w:r>
        <w:r w:rsidR="00957CD7" w:rsidRPr="00AE56C9">
          <w:rPr>
            <w:rStyle w:val="a5"/>
            <w:rFonts w:hAnsi="Times New Roman"/>
            <w:noProof/>
          </w:rPr>
          <w:t xml:space="preserve"> </w:t>
        </w:r>
        <w:r w:rsidR="00957CD7">
          <w:rPr>
            <w:rStyle w:val="a5"/>
            <w:rFonts w:hAnsi="Times New Roman"/>
            <w:noProof/>
          </w:rPr>
          <w:t xml:space="preserve"> </w:t>
        </w:r>
        <w:r w:rsidR="00957CD7" w:rsidRPr="00AE56C9">
          <w:rPr>
            <w:rStyle w:val="a5"/>
            <w:rFonts w:hAnsi="Times New Roman" w:hint="eastAsia"/>
            <w:noProof/>
          </w:rPr>
          <w:t>综合防灾规划</w:t>
        </w:r>
        <w:r w:rsidR="00957CD7">
          <w:rPr>
            <w:noProof/>
            <w:webHidden/>
          </w:rPr>
          <w:tab/>
        </w:r>
        <w:r w:rsidR="00957CD7">
          <w:rPr>
            <w:noProof/>
            <w:webHidden/>
          </w:rPr>
          <w:fldChar w:fldCharType="begin"/>
        </w:r>
        <w:r w:rsidR="00957CD7">
          <w:rPr>
            <w:noProof/>
            <w:webHidden/>
          </w:rPr>
          <w:instrText xml:space="preserve"> PAGEREF _Toc107565795 \h </w:instrText>
        </w:r>
        <w:r w:rsidR="00957CD7">
          <w:rPr>
            <w:noProof/>
            <w:webHidden/>
          </w:rPr>
        </w:r>
        <w:r w:rsidR="00957CD7">
          <w:rPr>
            <w:noProof/>
            <w:webHidden/>
          </w:rPr>
          <w:fldChar w:fldCharType="separate"/>
        </w:r>
        <w:r w:rsidR="00CE1A15">
          <w:rPr>
            <w:noProof/>
            <w:webHidden/>
          </w:rPr>
          <w:t>11</w:t>
        </w:r>
        <w:r w:rsidR="00957CD7">
          <w:rPr>
            <w:noProof/>
            <w:webHidden/>
          </w:rPr>
          <w:fldChar w:fldCharType="end"/>
        </w:r>
      </w:hyperlink>
    </w:p>
    <w:p w:rsidR="00957CD7" w:rsidRDefault="005F0372">
      <w:pPr>
        <w:pStyle w:val="10"/>
        <w:rPr>
          <w:rFonts w:asciiTheme="minorHAnsi" w:eastAsiaTheme="minorEastAsia"/>
          <w:noProof/>
          <w:sz w:val="21"/>
        </w:rPr>
      </w:pPr>
      <w:hyperlink w:anchor="_Toc107565796" w:history="1">
        <w:r w:rsidR="00957CD7" w:rsidRPr="00AE56C9">
          <w:rPr>
            <w:rStyle w:val="a5"/>
            <w:rFonts w:hAnsi="Times New Roman" w:hint="eastAsia"/>
            <w:noProof/>
          </w:rPr>
          <w:t>第七章</w:t>
        </w:r>
        <w:r w:rsidR="00957CD7" w:rsidRPr="00AE56C9">
          <w:rPr>
            <w:rStyle w:val="a5"/>
            <w:rFonts w:hAnsi="Times New Roman"/>
            <w:noProof/>
          </w:rPr>
          <w:t xml:space="preserve"> </w:t>
        </w:r>
        <w:r w:rsidR="00957CD7">
          <w:rPr>
            <w:rStyle w:val="a5"/>
            <w:rFonts w:hAnsi="Times New Roman"/>
            <w:noProof/>
          </w:rPr>
          <w:t xml:space="preserve"> </w:t>
        </w:r>
        <w:r w:rsidR="00957CD7" w:rsidRPr="00AE56C9">
          <w:rPr>
            <w:rStyle w:val="a5"/>
            <w:rFonts w:hAnsi="Times New Roman" w:hint="eastAsia"/>
            <w:noProof/>
          </w:rPr>
          <w:t>环境保护规划</w:t>
        </w:r>
        <w:r w:rsidR="00957CD7">
          <w:rPr>
            <w:noProof/>
            <w:webHidden/>
          </w:rPr>
          <w:tab/>
        </w:r>
        <w:r w:rsidR="00957CD7">
          <w:rPr>
            <w:noProof/>
            <w:webHidden/>
          </w:rPr>
          <w:fldChar w:fldCharType="begin"/>
        </w:r>
        <w:r w:rsidR="00957CD7">
          <w:rPr>
            <w:noProof/>
            <w:webHidden/>
          </w:rPr>
          <w:instrText xml:space="preserve"> PAGEREF _Toc107565796 \h </w:instrText>
        </w:r>
        <w:r w:rsidR="00957CD7">
          <w:rPr>
            <w:noProof/>
            <w:webHidden/>
          </w:rPr>
        </w:r>
        <w:r w:rsidR="00957CD7">
          <w:rPr>
            <w:noProof/>
            <w:webHidden/>
          </w:rPr>
          <w:fldChar w:fldCharType="separate"/>
        </w:r>
        <w:r w:rsidR="00CE1A15">
          <w:rPr>
            <w:noProof/>
            <w:webHidden/>
          </w:rPr>
          <w:t>13</w:t>
        </w:r>
        <w:r w:rsidR="00957CD7">
          <w:rPr>
            <w:noProof/>
            <w:webHidden/>
          </w:rPr>
          <w:fldChar w:fldCharType="end"/>
        </w:r>
      </w:hyperlink>
    </w:p>
    <w:p w:rsidR="00EC47A7" w:rsidRDefault="00EC47A7" w:rsidP="00EC47A7">
      <w:pPr>
        <w:pStyle w:val="1"/>
        <w:tabs>
          <w:tab w:val="left" w:pos="6663"/>
        </w:tabs>
        <w:spacing w:before="120" w:after="480" w:line="360" w:lineRule="auto"/>
        <w:jc w:val="center"/>
        <w:rPr>
          <w:rFonts w:ascii="仿宋_GB2312" w:eastAsia="仿宋_GB2312" w:hAnsi="Times New Roman"/>
          <w:sz w:val="24"/>
          <w:szCs w:val="24"/>
        </w:rPr>
        <w:sectPr w:rsidR="00EC47A7">
          <w:headerReference w:type="default" r:id="rId7"/>
          <w:footerReference w:type="default" r:id="rId8"/>
          <w:pgSz w:w="11906" w:h="16838"/>
          <w:pgMar w:top="1440" w:right="1797" w:bottom="1440" w:left="1797" w:header="851" w:footer="992" w:gutter="0"/>
          <w:pgNumType w:fmt="upperRoman" w:start="1"/>
          <w:cols w:space="425"/>
          <w:docGrid w:type="lines" w:linePitch="312"/>
        </w:sectPr>
      </w:pPr>
      <w:r>
        <w:rPr>
          <w:rFonts w:ascii="仿宋_GB2312" w:eastAsia="仿宋_GB2312" w:hAnsi="Times New Roman" w:hint="eastAsia"/>
          <w:szCs w:val="24"/>
        </w:rPr>
        <w:fldChar w:fldCharType="end"/>
      </w:r>
      <w:bookmarkEnd w:id="0"/>
    </w:p>
    <w:p w:rsidR="00EC47A7" w:rsidRDefault="00EC47A7" w:rsidP="00EC47A7">
      <w:pPr>
        <w:pStyle w:val="1"/>
        <w:tabs>
          <w:tab w:val="left" w:pos="6663"/>
        </w:tabs>
        <w:spacing w:before="120" w:after="480" w:line="360" w:lineRule="auto"/>
        <w:jc w:val="center"/>
        <w:rPr>
          <w:rFonts w:ascii="仿宋_GB2312" w:eastAsia="仿宋_GB2312" w:hAnsi="Times New Roman"/>
          <w:sz w:val="32"/>
          <w:szCs w:val="32"/>
        </w:rPr>
      </w:pPr>
      <w:bookmarkStart w:id="1" w:name="_Toc107565790"/>
      <w:r>
        <w:rPr>
          <w:rFonts w:ascii="仿宋_GB2312" w:eastAsia="仿宋_GB2312" w:hAnsi="Times New Roman" w:hint="eastAsia"/>
          <w:sz w:val="32"/>
          <w:szCs w:val="32"/>
        </w:rPr>
        <w:lastRenderedPageBreak/>
        <w:t>第一章  总则</w:t>
      </w:r>
      <w:bookmarkEnd w:id="1"/>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规划目标</w:t>
      </w:r>
    </w:p>
    <w:p w:rsidR="00EC47A7" w:rsidRDefault="00620CE1" w:rsidP="00EC47A7">
      <w:pPr>
        <w:spacing w:line="360" w:lineRule="auto"/>
        <w:ind w:firstLineChars="200" w:firstLine="480"/>
        <w:rPr>
          <w:rFonts w:ascii="仿宋_GB2312" w:eastAsia="仿宋_GB2312" w:hAnsi="Times New Roman"/>
          <w:sz w:val="24"/>
          <w:szCs w:val="24"/>
        </w:rPr>
      </w:pPr>
      <w:r w:rsidRPr="00620CE1">
        <w:rPr>
          <w:rFonts w:ascii="仿宋_GB2312" w:eastAsia="仿宋_GB2312" w:hAnsi="Times New Roman" w:hint="eastAsia"/>
          <w:sz w:val="24"/>
          <w:szCs w:val="24"/>
        </w:rPr>
        <w:t>潮州市“三旧”改造工程是促进城市发展的有效途径。为进一步引导</w:t>
      </w:r>
      <w:r w:rsidR="00A36405">
        <w:rPr>
          <w:rFonts w:ascii="仿宋_GB2312" w:eastAsia="仿宋_GB2312" w:hAnsi="Times New Roman" w:hint="eastAsia"/>
          <w:sz w:val="24"/>
          <w:szCs w:val="24"/>
        </w:rPr>
        <w:t>“三旧”工程用地布局，有效</w:t>
      </w:r>
      <w:proofErr w:type="gramStart"/>
      <w:r w:rsidR="00A36405">
        <w:rPr>
          <w:rFonts w:ascii="仿宋_GB2312" w:eastAsia="仿宋_GB2312" w:hAnsi="Times New Roman" w:hint="eastAsia"/>
          <w:sz w:val="24"/>
          <w:szCs w:val="24"/>
        </w:rPr>
        <w:t>支撑登塘镇</w:t>
      </w:r>
      <w:proofErr w:type="gramEnd"/>
      <w:r w:rsidR="00A36405">
        <w:rPr>
          <w:rFonts w:ascii="仿宋_GB2312" w:eastAsia="仿宋_GB2312" w:hAnsi="Times New Roman" w:hint="eastAsia"/>
          <w:sz w:val="24"/>
          <w:szCs w:val="24"/>
        </w:rPr>
        <w:t>“三旧”项目的顺利建设实施，</w:t>
      </w:r>
      <w:proofErr w:type="gramStart"/>
      <w:r w:rsidR="00EC47A7" w:rsidRPr="00EC47A7">
        <w:rPr>
          <w:rFonts w:ascii="仿宋_GB2312" w:eastAsia="仿宋_GB2312" w:hAnsi="Times New Roman" w:hint="eastAsia"/>
          <w:sz w:val="24"/>
          <w:szCs w:val="24"/>
        </w:rPr>
        <w:t>登塘镇</w:t>
      </w:r>
      <w:proofErr w:type="gramEnd"/>
      <w:r w:rsidR="00EC47A7" w:rsidRPr="00EC47A7">
        <w:rPr>
          <w:rFonts w:ascii="仿宋_GB2312" w:eastAsia="仿宋_GB2312" w:hAnsi="Times New Roman" w:hint="eastAsia"/>
          <w:sz w:val="24"/>
          <w:szCs w:val="24"/>
        </w:rPr>
        <w:t>人民政府依据相关政策和潮安区人</w:t>
      </w:r>
      <w:r w:rsidR="00EC47A7">
        <w:rPr>
          <w:rFonts w:ascii="仿宋_GB2312" w:eastAsia="仿宋_GB2312" w:hAnsi="Times New Roman" w:hint="eastAsia"/>
          <w:sz w:val="24"/>
          <w:szCs w:val="24"/>
        </w:rPr>
        <w:t>民政府要求，</w:t>
      </w:r>
      <w:proofErr w:type="gramStart"/>
      <w:r w:rsidR="00EC47A7">
        <w:rPr>
          <w:rFonts w:ascii="仿宋_GB2312" w:eastAsia="仿宋_GB2312" w:hAnsi="Times New Roman" w:hint="eastAsia"/>
          <w:sz w:val="24"/>
          <w:szCs w:val="24"/>
        </w:rPr>
        <w:t>对</w:t>
      </w:r>
      <w:r w:rsidR="006C5BC1">
        <w:rPr>
          <w:rFonts w:ascii="仿宋_GB2312" w:eastAsia="仿宋_GB2312" w:hAnsi="Times New Roman" w:hint="eastAsia"/>
          <w:sz w:val="24"/>
          <w:szCs w:val="24"/>
        </w:rPr>
        <w:t>登塘</w:t>
      </w:r>
      <w:proofErr w:type="gramEnd"/>
      <w:r w:rsidR="006C5BC1">
        <w:rPr>
          <w:rFonts w:ascii="仿宋_GB2312" w:eastAsia="仿宋_GB2312" w:hAnsi="Times New Roman" w:hint="eastAsia"/>
          <w:sz w:val="24"/>
          <w:szCs w:val="24"/>
        </w:rPr>
        <w:t>镇</w:t>
      </w:r>
      <w:r>
        <w:rPr>
          <w:rFonts w:ascii="仿宋_GB2312" w:eastAsia="仿宋_GB2312" w:hAnsi="Times New Roman" w:hint="eastAsia"/>
          <w:sz w:val="24"/>
          <w:szCs w:val="24"/>
        </w:rPr>
        <w:t>“三旧”改造D</w:t>
      </w:r>
      <w:r>
        <w:rPr>
          <w:rFonts w:ascii="仿宋_GB2312" w:eastAsia="仿宋_GB2312" w:hAnsi="Times New Roman"/>
          <w:sz w:val="24"/>
          <w:szCs w:val="24"/>
        </w:rPr>
        <w:t>T040</w:t>
      </w:r>
      <w:r>
        <w:rPr>
          <w:rFonts w:ascii="仿宋_GB2312" w:eastAsia="仿宋_GB2312" w:hAnsi="Times New Roman" w:hint="eastAsia"/>
          <w:sz w:val="24"/>
          <w:szCs w:val="24"/>
        </w:rPr>
        <w:t>地块</w:t>
      </w:r>
      <w:r w:rsidR="00EC47A7">
        <w:rPr>
          <w:rFonts w:ascii="仿宋_GB2312" w:eastAsia="仿宋_GB2312" w:hAnsi="Times New Roman" w:hint="eastAsia"/>
          <w:sz w:val="24"/>
          <w:szCs w:val="24"/>
        </w:rPr>
        <w:t>开展控制性详细规划编制工作。</w:t>
      </w:r>
    </w:p>
    <w:p w:rsidR="00EC47A7" w:rsidRPr="006C5BC1"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sidRPr="006C5BC1">
        <w:rPr>
          <w:rFonts w:ascii="仿宋_GB2312" w:eastAsia="仿宋_GB2312" w:cs="Times New Roman" w:hint="eastAsia"/>
          <w:b/>
        </w:rPr>
        <w:t>规划依据</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（一）法律、法规、规章及规范</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《中华人民共和国城乡规划法》（2019年修正）；</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《中华人民共和国土地管理法》（2019年修正）；</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《中华人民共和国环境保护法》（2015修订）；</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《城市规划编制办法》（2006）；</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《城市、镇控制性详细规划编制审批办法》（2010）；</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《建设用地容积率管理办法》（2012）；</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《城市用地分类与规划建设用地标准》（GB50137-2011）；</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《城市公共设施规划规范》（GB50442-2008）；</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《城市绿地设计规范》（GB50420-2007-2016年版）；</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《城市绿地分类标准（CJJ/T85—2017）》；</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《城市道路交通规划设计规范》（GB50220－95）；</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《城市停车规划规范》（GB/T51149-2016）；</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《广东省城乡规划条例》（2012）；</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《广东省城市控制性详细规划管理条例》（2014年修正）；</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《广东省城市控制性详细规划编制指引》（2007）；</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《潮州市城乡规划管理技术规定（试行）（2017）》</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《潮州市控制性详细规划管理规定》;</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国家、省、市其他有关的法律、法规、规划及规范性文件。</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（二）上层次及相关规划</w:t>
      </w:r>
    </w:p>
    <w:p w:rsidR="00EC47A7" w:rsidRDefault="00444D71" w:rsidP="00EC47A7">
      <w:pPr>
        <w:spacing w:line="360" w:lineRule="auto"/>
        <w:ind w:firstLineChars="250" w:firstLine="600"/>
        <w:rPr>
          <w:rFonts w:ascii="仿宋_GB2312" w:eastAsia="仿宋_GB2312" w:hAnsi="Times New Roman"/>
          <w:sz w:val="24"/>
          <w:szCs w:val="24"/>
        </w:rPr>
      </w:pPr>
      <w:proofErr w:type="gramStart"/>
      <w:r w:rsidRPr="00444D71">
        <w:rPr>
          <w:rFonts w:ascii="仿宋_GB2312" w:eastAsia="仿宋_GB2312" w:hAnsi="Times New Roman" w:hint="eastAsia"/>
          <w:sz w:val="24"/>
          <w:szCs w:val="24"/>
        </w:rPr>
        <w:t>《</w:t>
      </w:r>
      <w:proofErr w:type="gramEnd"/>
      <w:r w:rsidRPr="00444D71">
        <w:rPr>
          <w:rFonts w:ascii="仿宋_GB2312" w:eastAsia="仿宋_GB2312" w:hAnsi="Times New Roman" w:hint="eastAsia"/>
          <w:sz w:val="24"/>
          <w:szCs w:val="24"/>
        </w:rPr>
        <w:t>潮安县登塘镇总体规划（2010-2020）</w:t>
      </w:r>
      <w:r w:rsidR="00EC47A7" w:rsidRPr="002C4463">
        <w:rPr>
          <w:rFonts w:ascii="仿宋_GB2312" w:eastAsia="仿宋_GB2312" w:hAnsi="Times New Roman" w:hint="eastAsia"/>
          <w:sz w:val="24"/>
          <w:szCs w:val="24"/>
        </w:rPr>
        <w:t>；</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lastRenderedPageBreak/>
        <w:t>《潮州市土地利用总体规划（2006-2020年）》中期调整完善；</w:t>
      </w:r>
    </w:p>
    <w:p w:rsidR="00620CE1" w:rsidRDefault="00620CE1" w:rsidP="00EC47A7">
      <w:pPr>
        <w:spacing w:line="360" w:lineRule="auto"/>
        <w:ind w:firstLineChars="250" w:firstLine="600"/>
        <w:rPr>
          <w:rFonts w:ascii="仿宋_GB2312" w:eastAsia="仿宋_GB2312" w:hAnsi="Times New Roman" w:hint="eastAsia"/>
          <w:sz w:val="24"/>
          <w:szCs w:val="24"/>
        </w:rPr>
      </w:pPr>
      <w:r w:rsidRPr="00620CE1">
        <w:rPr>
          <w:rFonts w:ascii="仿宋_GB2312" w:eastAsia="仿宋_GB2312" w:hAnsi="Times New Roman" w:hint="eastAsia"/>
          <w:sz w:val="24"/>
          <w:szCs w:val="24"/>
        </w:rPr>
        <w:t>《潮州市潮安区“三旧”改造规划》；</w:t>
      </w:r>
    </w:p>
    <w:p w:rsidR="00EC47A7" w:rsidRDefault="00EC47A7" w:rsidP="00EC47A7">
      <w:pPr>
        <w:spacing w:line="360" w:lineRule="auto"/>
        <w:ind w:firstLineChars="250" w:firstLine="600"/>
        <w:rPr>
          <w:rFonts w:ascii="仿宋_GB2312" w:eastAsia="仿宋_GB2312" w:hAnsi="Times New Roman"/>
          <w:sz w:val="24"/>
          <w:szCs w:val="24"/>
        </w:rPr>
      </w:pPr>
      <w:r>
        <w:rPr>
          <w:rFonts w:ascii="仿宋_GB2312" w:eastAsia="仿宋_GB2312" w:hAnsi="Times New Roman" w:hint="eastAsia"/>
          <w:sz w:val="24"/>
          <w:szCs w:val="24"/>
        </w:rPr>
        <w:t>其他相关专项规划及政策文件。</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规划原则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（一）落实上层次及相关规划要求；</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（二）与区域发展相协调；</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（三）因地制宜，集约高效。</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规划范围</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本次</w:t>
      </w:r>
      <w:r w:rsidR="00620CE1" w:rsidRPr="00620CE1">
        <w:rPr>
          <w:rFonts w:ascii="仿宋_GB2312" w:eastAsia="仿宋_GB2312" w:hAnsi="Times New Roman" w:hint="eastAsia"/>
          <w:sz w:val="24"/>
          <w:szCs w:val="24"/>
        </w:rPr>
        <w:t>潮州</w:t>
      </w:r>
      <w:proofErr w:type="gramStart"/>
      <w:r w:rsidR="00620CE1" w:rsidRPr="00620CE1">
        <w:rPr>
          <w:rFonts w:ascii="仿宋_GB2312" w:eastAsia="仿宋_GB2312" w:hAnsi="Times New Roman" w:hint="eastAsia"/>
          <w:sz w:val="24"/>
          <w:szCs w:val="24"/>
        </w:rPr>
        <w:t>市登塘</w:t>
      </w:r>
      <w:proofErr w:type="gramEnd"/>
      <w:r w:rsidR="00620CE1" w:rsidRPr="00620CE1">
        <w:rPr>
          <w:rFonts w:ascii="仿宋_GB2312" w:eastAsia="仿宋_GB2312" w:hAnsi="Times New Roman" w:hint="eastAsia"/>
          <w:sz w:val="24"/>
          <w:szCs w:val="24"/>
        </w:rPr>
        <w:t>镇“三旧”改造DT040地块控制性详细规划</w:t>
      </w:r>
      <w:r>
        <w:rPr>
          <w:rFonts w:ascii="仿宋_GB2312" w:eastAsia="仿宋_GB2312" w:hAnsi="Times New Roman" w:hint="eastAsia"/>
          <w:sz w:val="24"/>
          <w:szCs w:val="24"/>
        </w:rPr>
        <w:t>范围为潮安</w:t>
      </w:r>
      <w:proofErr w:type="gramStart"/>
      <w:r>
        <w:rPr>
          <w:rFonts w:ascii="仿宋_GB2312" w:eastAsia="仿宋_GB2312" w:hAnsi="Times New Roman" w:hint="eastAsia"/>
          <w:sz w:val="24"/>
          <w:szCs w:val="24"/>
        </w:rPr>
        <w:t>区登塘镇</w:t>
      </w:r>
      <w:r w:rsidR="00620CE1" w:rsidRPr="00620CE1">
        <w:rPr>
          <w:rFonts w:ascii="仿宋_GB2312" w:eastAsia="仿宋_GB2312" w:hAnsi="Times New Roman" w:hint="eastAsia"/>
          <w:sz w:val="24"/>
          <w:szCs w:val="24"/>
        </w:rPr>
        <w:t>登塘</w:t>
      </w:r>
      <w:proofErr w:type="gramEnd"/>
      <w:r w:rsidR="00620CE1" w:rsidRPr="00620CE1">
        <w:rPr>
          <w:rFonts w:ascii="仿宋_GB2312" w:eastAsia="仿宋_GB2312" w:hAnsi="Times New Roman" w:hint="eastAsia"/>
          <w:sz w:val="24"/>
          <w:szCs w:val="24"/>
        </w:rPr>
        <w:t>村东部地块</w:t>
      </w:r>
      <w:r>
        <w:rPr>
          <w:rFonts w:ascii="仿宋_GB2312" w:eastAsia="仿宋_GB2312" w:hAnsi="Times New Roman" w:hint="eastAsia"/>
          <w:sz w:val="24"/>
          <w:szCs w:val="24"/>
        </w:rPr>
        <w:t>，</w:t>
      </w:r>
      <w:r w:rsidR="00DC1ABE">
        <w:rPr>
          <w:rFonts w:ascii="仿宋_GB2312" w:eastAsia="仿宋_GB2312" w:hAnsi="Times New Roman" w:hint="eastAsia"/>
          <w:sz w:val="24"/>
          <w:szCs w:val="24"/>
        </w:rPr>
        <w:t>位于</w:t>
      </w:r>
      <w:r w:rsidR="00620CE1">
        <w:rPr>
          <w:rFonts w:ascii="仿宋_GB2312" w:eastAsia="仿宋_GB2312" w:hAnsi="Times New Roman" w:hint="eastAsia"/>
          <w:sz w:val="24"/>
          <w:szCs w:val="24"/>
        </w:rPr>
        <w:t>S</w:t>
      </w:r>
      <w:r w:rsidR="00620CE1">
        <w:rPr>
          <w:rFonts w:ascii="仿宋_GB2312" w:eastAsia="仿宋_GB2312" w:hAnsi="Times New Roman"/>
          <w:sz w:val="24"/>
          <w:szCs w:val="24"/>
        </w:rPr>
        <w:t>233</w:t>
      </w:r>
      <w:r w:rsidR="00620CE1">
        <w:rPr>
          <w:rFonts w:ascii="仿宋_GB2312" w:eastAsia="仿宋_GB2312" w:hAnsi="Times New Roman" w:hint="eastAsia"/>
          <w:sz w:val="24"/>
          <w:szCs w:val="24"/>
        </w:rPr>
        <w:t>南侧</w:t>
      </w:r>
      <w:r w:rsidR="00DC1ABE">
        <w:rPr>
          <w:rFonts w:ascii="仿宋_GB2312" w:eastAsia="仿宋_GB2312" w:hAnsi="Times New Roman" w:hint="eastAsia"/>
          <w:sz w:val="24"/>
          <w:szCs w:val="24"/>
        </w:rPr>
        <w:t>，</w:t>
      </w:r>
      <w:r>
        <w:rPr>
          <w:rFonts w:ascii="仿宋_GB2312" w:eastAsia="仿宋_GB2312" w:hAnsi="Times New Roman" w:hint="eastAsia"/>
          <w:sz w:val="24"/>
          <w:szCs w:val="24"/>
        </w:rPr>
        <w:t>总规划面积</w:t>
      </w:r>
      <w:r w:rsidR="00620CE1" w:rsidRPr="00620CE1">
        <w:rPr>
          <w:rFonts w:ascii="仿宋_GB2312" w:eastAsia="仿宋_GB2312" w:hAnsi="Times New Roman"/>
          <w:sz w:val="24"/>
          <w:szCs w:val="24"/>
        </w:rPr>
        <w:t>3210.33</w:t>
      </w:r>
      <w:r>
        <w:rPr>
          <w:rFonts w:ascii="仿宋_GB2312" w:eastAsia="仿宋_GB2312" w:hAnsi="Times New Roman" w:hint="eastAsia"/>
          <w:sz w:val="24"/>
          <w:szCs w:val="24"/>
        </w:rPr>
        <w:t>平方米。</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规划生效日期</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本规划经潮安区人民政府批准后，具有法律效力，在规划区内进行建设的任何单位及个人都有遵守本规划的义务。</w:t>
      </w:r>
    </w:p>
    <w:p w:rsidR="00EC47A7" w:rsidRDefault="00EC47A7" w:rsidP="00EC47A7">
      <w:pPr>
        <w:spacing w:line="360" w:lineRule="auto"/>
        <w:ind w:firstLineChars="200" w:firstLine="480"/>
        <w:rPr>
          <w:rFonts w:ascii="仿宋_GB2312" w:eastAsia="仿宋_GB2312" w:hAnsi="Times New Roman"/>
          <w:sz w:val="24"/>
          <w:szCs w:val="24"/>
        </w:rPr>
      </w:pPr>
    </w:p>
    <w:p w:rsidR="00EC47A7" w:rsidRDefault="00EC47A7" w:rsidP="00EC47A7">
      <w:r>
        <w:br w:type="page"/>
      </w:r>
    </w:p>
    <w:p w:rsidR="00EC47A7" w:rsidRDefault="00EC47A7" w:rsidP="00EC47A7">
      <w:pPr>
        <w:pStyle w:val="1"/>
        <w:spacing w:before="120" w:after="480" w:line="360" w:lineRule="auto"/>
        <w:jc w:val="center"/>
        <w:rPr>
          <w:rFonts w:ascii="仿宋_GB2312" w:eastAsia="仿宋_GB2312" w:hAnsi="Times New Roman"/>
          <w:sz w:val="32"/>
          <w:szCs w:val="32"/>
        </w:rPr>
      </w:pPr>
      <w:bookmarkStart w:id="2" w:name="_Toc107565791"/>
      <w:r>
        <w:rPr>
          <w:rFonts w:ascii="仿宋_GB2312" w:eastAsia="仿宋_GB2312" w:hAnsi="Times New Roman" w:hint="eastAsia"/>
          <w:sz w:val="32"/>
          <w:szCs w:val="32"/>
        </w:rPr>
        <w:lastRenderedPageBreak/>
        <w:t>第二章  用地规模与布局</w:t>
      </w:r>
      <w:bookmarkEnd w:id="2"/>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发展规模</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用地规模：规划区总建设用地面积</w:t>
      </w:r>
      <w:r w:rsidR="00620CE1" w:rsidRPr="00620CE1">
        <w:rPr>
          <w:rFonts w:ascii="仿宋_GB2312" w:eastAsia="仿宋_GB2312" w:hAnsi="Times New Roman"/>
          <w:sz w:val="24"/>
          <w:szCs w:val="24"/>
        </w:rPr>
        <w:t>3210.33</w:t>
      </w:r>
      <w:r>
        <w:rPr>
          <w:rFonts w:ascii="仿宋_GB2312" w:eastAsia="仿宋_GB2312" w:hAnsi="Times New Roman" w:hint="eastAsia"/>
          <w:sz w:val="24"/>
          <w:szCs w:val="24"/>
        </w:rPr>
        <w:t>平方米，都为城市建设用地。</w:t>
      </w:r>
    </w:p>
    <w:p w:rsidR="00EC47A7" w:rsidRPr="002C4463" w:rsidRDefault="00EC47A7" w:rsidP="002C4463">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sidRPr="00327683">
        <w:rPr>
          <w:rFonts w:ascii="仿宋_GB2312" w:eastAsia="仿宋_GB2312" w:cs="Times New Roman" w:hint="eastAsia"/>
          <w:b/>
        </w:rPr>
        <w:t>用地布局</w:t>
      </w:r>
    </w:p>
    <w:p w:rsidR="002C4463" w:rsidRDefault="002C4463" w:rsidP="002C4463">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规划区城市建设用地</w:t>
      </w:r>
      <w:r w:rsidR="00620CE1" w:rsidRPr="00620CE1">
        <w:rPr>
          <w:rFonts w:ascii="仿宋_GB2312" w:eastAsia="仿宋_GB2312" w:hAnsi="Times New Roman"/>
          <w:sz w:val="24"/>
          <w:szCs w:val="24"/>
        </w:rPr>
        <w:t>3210.33</w:t>
      </w:r>
      <w:r>
        <w:rPr>
          <w:rFonts w:ascii="仿宋_GB2312" w:eastAsia="仿宋_GB2312" w:hAnsi="Times New Roman" w:hint="eastAsia"/>
          <w:sz w:val="24"/>
          <w:szCs w:val="24"/>
        </w:rPr>
        <w:t>平方米，占总用地的100</w:t>
      </w:r>
      <w:r>
        <w:rPr>
          <w:rFonts w:ascii="仿宋_GB2312" w:eastAsia="仿宋_GB2312" w:hAnsi="Times New Roman"/>
          <w:sz w:val="24"/>
          <w:szCs w:val="24"/>
        </w:rPr>
        <w:t>%</w:t>
      </w:r>
      <w:r>
        <w:rPr>
          <w:rFonts w:ascii="仿宋_GB2312" w:eastAsia="仿宋_GB2312" w:hAnsi="Times New Roman" w:hint="eastAsia"/>
          <w:sz w:val="24"/>
          <w:szCs w:val="24"/>
        </w:rPr>
        <w:t>。</w:t>
      </w:r>
    </w:p>
    <w:p w:rsidR="002C4463" w:rsidRDefault="00620CE1" w:rsidP="002C4463">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（一</w:t>
      </w:r>
      <w:r w:rsidR="002C4463">
        <w:rPr>
          <w:rFonts w:ascii="仿宋_GB2312" w:eastAsia="仿宋_GB2312" w:hAnsi="Times New Roman" w:hint="eastAsia"/>
          <w:sz w:val="24"/>
          <w:szCs w:val="24"/>
        </w:rPr>
        <w:t>）工业用地（M）</w:t>
      </w:r>
    </w:p>
    <w:p w:rsidR="002C4463" w:rsidRDefault="002C4463" w:rsidP="002C4463">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规划工业用地</w:t>
      </w:r>
      <w:r w:rsidR="00620CE1" w:rsidRPr="00620CE1">
        <w:rPr>
          <w:rFonts w:ascii="仿宋_GB2312" w:eastAsia="仿宋_GB2312" w:hAnsi="Times New Roman"/>
          <w:sz w:val="24"/>
          <w:szCs w:val="24"/>
        </w:rPr>
        <w:t>2370.69</w:t>
      </w:r>
      <w:r>
        <w:rPr>
          <w:rFonts w:ascii="仿宋_GB2312" w:eastAsia="仿宋_GB2312" w:hAnsi="Times New Roman" w:hint="eastAsia"/>
          <w:sz w:val="24"/>
          <w:szCs w:val="24"/>
        </w:rPr>
        <w:t>平方米，占城市建设用地的</w:t>
      </w:r>
      <w:r w:rsidR="00620CE1">
        <w:rPr>
          <w:rFonts w:ascii="仿宋_GB2312" w:eastAsia="仿宋_GB2312" w:hAnsi="Times New Roman"/>
          <w:sz w:val="24"/>
          <w:szCs w:val="24"/>
        </w:rPr>
        <w:t>73.85</w:t>
      </w:r>
      <w:r w:rsidRPr="00FE5B68">
        <w:rPr>
          <w:rFonts w:ascii="仿宋_GB2312" w:eastAsia="仿宋_GB2312" w:hAnsi="Times New Roman"/>
          <w:sz w:val="24"/>
          <w:szCs w:val="24"/>
        </w:rPr>
        <w:t>%</w:t>
      </w:r>
      <w:r>
        <w:rPr>
          <w:rFonts w:ascii="仿宋_GB2312" w:eastAsia="仿宋_GB2312" w:hAnsi="Times New Roman" w:hint="eastAsia"/>
          <w:sz w:val="24"/>
          <w:szCs w:val="24"/>
        </w:rPr>
        <w:t>。其土地利用性质为城市二类工业用地。</w:t>
      </w:r>
    </w:p>
    <w:p w:rsidR="002C4463" w:rsidRDefault="002C4463" w:rsidP="002C4463">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w:t>
      </w:r>
      <w:r w:rsidR="00620CE1">
        <w:rPr>
          <w:rFonts w:ascii="仿宋_GB2312" w:eastAsia="仿宋_GB2312" w:hAnsi="Times New Roman" w:hint="eastAsia"/>
          <w:sz w:val="24"/>
          <w:szCs w:val="24"/>
        </w:rPr>
        <w:t>二</w:t>
      </w:r>
      <w:r>
        <w:rPr>
          <w:rFonts w:ascii="仿宋_GB2312" w:eastAsia="仿宋_GB2312" w:hAnsi="Times New Roman"/>
          <w:sz w:val="24"/>
          <w:szCs w:val="24"/>
        </w:rPr>
        <w:t>）</w:t>
      </w:r>
      <w:r>
        <w:rPr>
          <w:rFonts w:ascii="仿宋_GB2312" w:eastAsia="仿宋_GB2312" w:hAnsi="Times New Roman" w:hint="eastAsia"/>
          <w:sz w:val="24"/>
          <w:szCs w:val="24"/>
        </w:rPr>
        <w:t>道路与交通设施用地（S）</w:t>
      </w:r>
    </w:p>
    <w:p w:rsidR="002C4463" w:rsidRDefault="002C4463" w:rsidP="002C4463">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规划道路与交通设施用地</w:t>
      </w:r>
      <w:r w:rsidR="00620CE1" w:rsidRPr="00620CE1">
        <w:rPr>
          <w:rFonts w:ascii="仿宋_GB2312" w:eastAsia="仿宋_GB2312" w:hAnsi="Times New Roman"/>
          <w:sz w:val="24"/>
          <w:szCs w:val="24"/>
        </w:rPr>
        <w:t>839.64</w:t>
      </w:r>
      <w:r>
        <w:rPr>
          <w:rFonts w:ascii="仿宋_GB2312" w:eastAsia="仿宋_GB2312" w:hAnsi="Times New Roman" w:hint="eastAsia"/>
          <w:sz w:val="24"/>
          <w:szCs w:val="24"/>
        </w:rPr>
        <w:t>平方米，占城市建设用地的</w:t>
      </w:r>
      <w:r w:rsidR="00620CE1" w:rsidRPr="00620CE1">
        <w:rPr>
          <w:rFonts w:ascii="仿宋_GB2312" w:eastAsia="仿宋_GB2312" w:hAnsi="Times New Roman"/>
          <w:sz w:val="24"/>
          <w:szCs w:val="24"/>
        </w:rPr>
        <w:t>26.15%</w:t>
      </w:r>
      <w:r>
        <w:rPr>
          <w:rFonts w:ascii="仿宋_GB2312" w:eastAsia="仿宋_GB2312" w:hAnsi="Times New Roman"/>
          <w:sz w:val="24"/>
          <w:szCs w:val="24"/>
        </w:rPr>
        <w:t>%</w:t>
      </w:r>
      <w:r>
        <w:rPr>
          <w:rFonts w:ascii="仿宋_GB2312" w:eastAsia="仿宋_GB2312" w:hAnsi="Times New Roman" w:hint="eastAsia"/>
          <w:sz w:val="24"/>
          <w:szCs w:val="24"/>
        </w:rPr>
        <w:t>。其土地利用性质为城市道路用地。</w:t>
      </w:r>
    </w:p>
    <w:p w:rsidR="002C4463" w:rsidRDefault="002C4463" w:rsidP="002C4463">
      <w:pPr>
        <w:spacing w:line="360" w:lineRule="auto"/>
        <w:ind w:firstLineChars="200" w:firstLine="480"/>
        <w:jc w:val="center"/>
        <w:rPr>
          <w:rFonts w:ascii="仿宋_GB2312" w:eastAsia="仿宋_GB2312" w:hAnsi="Times New Roman"/>
          <w:sz w:val="24"/>
          <w:szCs w:val="24"/>
        </w:rPr>
      </w:pPr>
      <w:r>
        <w:rPr>
          <w:rFonts w:ascii="仿宋_GB2312" w:eastAsia="仿宋_GB2312" w:hAnsi="Times New Roman" w:hint="eastAsia"/>
          <w:sz w:val="24"/>
          <w:szCs w:val="24"/>
        </w:rPr>
        <w:t>表2-1：规划用地平衡表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598"/>
        <w:gridCol w:w="1136"/>
        <w:gridCol w:w="1845"/>
        <w:gridCol w:w="1171"/>
        <w:gridCol w:w="1802"/>
        <w:gridCol w:w="1362"/>
      </w:tblGrid>
      <w:tr w:rsidR="002C4463" w:rsidTr="001B3B7F">
        <w:trPr>
          <w:trHeight w:val="342"/>
          <w:jc w:val="center"/>
        </w:trPr>
        <w:tc>
          <w:tcPr>
            <w:tcW w:w="234" w:type="pct"/>
            <w:vMerge w:val="restar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 xml:space="preserve">城市建设用地　</w:t>
            </w:r>
          </w:p>
        </w:tc>
        <w:tc>
          <w:tcPr>
            <w:tcW w:w="1044" w:type="pct"/>
            <w:gridSpan w:val="2"/>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用地代码</w:t>
            </w:r>
          </w:p>
        </w:tc>
        <w:tc>
          <w:tcPr>
            <w:tcW w:w="1111" w:type="pct"/>
            <w:vMerge w:val="restar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用地名称</w:t>
            </w:r>
          </w:p>
        </w:tc>
        <w:tc>
          <w:tcPr>
            <w:tcW w:w="705" w:type="pct"/>
            <w:vMerge w:val="restar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用地面积（㎡</w:t>
            </w:r>
            <w:r>
              <w:rPr>
                <w:rFonts w:asciiTheme="minorEastAsia" w:hAnsiTheme="minorEastAsia" w:cs="宋体"/>
                <w:color w:val="000000" w:themeColor="text1"/>
                <w:kern w:val="0"/>
                <w:sz w:val="18"/>
                <w:szCs w:val="24"/>
              </w:rPr>
              <w:t>）</w:t>
            </w:r>
          </w:p>
        </w:tc>
        <w:tc>
          <w:tcPr>
            <w:tcW w:w="1085" w:type="pct"/>
            <w:vMerge w:val="restar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占城市建设用地比例</w:t>
            </w:r>
          </w:p>
        </w:tc>
        <w:tc>
          <w:tcPr>
            <w:tcW w:w="820" w:type="pct"/>
            <w:vMerge w:val="restar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占总用地比例</w:t>
            </w:r>
          </w:p>
        </w:tc>
      </w:tr>
      <w:tr w:rsidR="002C4463" w:rsidTr="001B3B7F">
        <w:trPr>
          <w:trHeight w:val="342"/>
          <w:jc w:val="center"/>
        </w:trPr>
        <w:tc>
          <w:tcPr>
            <w:tcW w:w="234"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360" w:type="pc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大类</w:t>
            </w:r>
          </w:p>
        </w:tc>
        <w:tc>
          <w:tcPr>
            <w:tcW w:w="684" w:type="pc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中类</w:t>
            </w:r>
            <w:r>
              <w:rPr>
                <w:rFonts w:asciiTheme="minorEastAsia" w:hAnsiTheme="minorEastAsia" w:cs="宋体"/>
                <w:color w:val="000000" w:themeColor="text1"/>
                <w:kern w:val="0"/>
                <w:sz w:val="18"/>
                <w:szCs w:val="24"/>
              </w:rPr>
              <w:t>/小类</w:t>
            </w:r>
          </w:p>
        </w:tc>
        <w:tc>
          <w:tcPr>
            <w:tcW w:w="1111"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705"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1085"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820"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r>
      <w:tr w:rsidR="002C4463" w:rsidTr="001B3B7F">
        <w:trPr>
          <w:trHeight w:val="342"/>
          <w:jc w:val="center"/>
        </w:trPr>
        <w:tc>
          <w:tcPr>
            <w:tcW w:w="234"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360" w:type="pct"/>
            <w:vMerge w:val="restar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M</w:t>
            </w:r>
          </w:p>
        </w:tc>
        <w:tc>
          <w:tcPr>
            <w:tcW w:w="1795" w:type="pct"/>
            <w:gridSpan w:val="2"/>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工业用地</w:t>
            </w:r>
          </w:p>
        </w:tc>
        <w:tc>
          <w:tcPr>
            <w:tcW w:w="705" w:type="pct"/>
            <w:shd w:val="clear" w:color="auto" w:fill="auto"/>
            <w:noWrap/>
            <w:vAlign w:val="center"/>
          </w:tcPr>
          <w:p w:rsidR="002C4463" w:rsidRDefault="00620CE1" w:rsidP="006A326E">
            <w:pPr>
              <w:widowControl/>
              <w:jc w:val="center"/>
              <w:rPr>
                <w:b/>
                <w:color w:val="000000" w:themeColor="text1"/>
              </w:rPr>
            </w:pPr>
            <w:r w:rsidRPr="00620CE1">
              <w:rPr>
                <w:b/>
                <w:color w:val="000000" w:themeColor="text1"/>
              </w:rPr>
              <w:t>2370.69</w:t>
            </w:r>
          </w:p>
        </w:tc>
        <w:tc>
          <w:tcPr>
            <w:tcW w:w="1085" w:type="pct"/>
            <w:shd w:val="clear" w:color="auto" w:fill="auto"/>
            <w:noWrap/>
            <w:vAlign w:val="center"/>
          </w:tcPr>
          <w:p w:rsidR="002C4463" w:rsidRDefault="00620CE1" w:rsidP="006A326E">
            <w:pPr>
              <w:widowControl/>
              <w:jc w:val="center"/>
              <w:rPr>
                <w:b/>
                <w:color w:val="000000" w:themeColor="text1"/>
              </w:rPr>
            </w:pPr>
            <w:r w:rsidRPr="00620CE1">
              <w:rPr>
                <w:b/>
                <w:color w:val="000000" w:themeColor="text1"/>
              </w:rPr>
              <w:t>73.85</w:t>
            </w:r>
            <w:r w:rsidR="00444D71">
              <w:rPr>
                <w:b/>
                <w:color w:val="000000" w:themeColor="text1"/>
              </w:rPr>
              <w:t>%</w:t>
            </w:r>
          </w:p>
        </w:tc>
        <w:tc>
          <w:tcPr>
            <w:tcW w:w="820" w:type="pct"/>
            <w:shd w:val="clear" w:color="auto" w:fill="auto"/>
            <w:noWrap/>
            <w:vAlign w:val="center"/>
          </w:tcPr>
          <w:p w:rsidR="002C4463" w:rsidRDefault="00620CE1" w:rsidP="006A326E">
            <w:pPr>
              <w:widowControl/>
              <w:jc w:val="center"/>
              <w:rPr>
                <w:b/>
                <w:color w:val="000000" w:themeColor="text1"/>
              </w:rPr>
            </w:pPr>
            <w:r w:rsidRPr="00620CE1">
              <w:rPr>
                <w:b/>
                <w:color w:val="000000" w:themeColor="text1"/>
              </w:rPr>
              <w:t>73.85</w:t>
            </w:r>
            <w:r>
              <w:rPr>
                <w:b/>
                <w:color w:val="000000" w:themeColor="text1"/>
              </w:rPr>
              <w:t>%</w:t>
            </w:r>
          </w:p>
        </w:tc>
      </w:tr>
      <w:tr w:rsidR="002C4463" w:rsidTr="001B3B7F">
        <w:trPr>
          <w:trHeight w:val="342"/>
          <w:jc w:val="center"/>
        </w:trPr>
        <w:tc>
          <w:tcPr>
            <w:tcW w:w="234"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360"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684" w:type="pc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M2</w:t>
            </w:r>
          </w:p>
        </w:tc>
        <w:tc>
          <w:tcPr>
            <w:tcW w:w="1111" w:type="pc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二类工业用地</w:t>
            </w:r>
          </w:p>
        </w:tc>
        <w:tc>
          <w:tcPr>
            <w:tcW w:w="705" w:type="pct"/>
            <w:shd w:val="clear" w:color="auto" w:fill="auto"/>
            <w:noWrap/>
            <w:vAlign w:val="center"/>
          </w:tcPr>
          <w:p w:rsidR="002C4463" w:rsidRDefault="00620CE1" w:rsidP="006A326E">
            <w:pPr>
              <w:widowControl/>
              <w:jc w:val="center"/>
              <w:rPr>
                <w:bCs/>
                <w:color w:val="000000" w:themeColor="text1"/>
              </w:rPr>
            </w:pPr>
            <w:r w:rsidRPr="00620CE1">
              <w:rPr>
                <w:bCs/>
                <w:color w:val="000000" w:themeColor="text1"/>
              </w:rPr>
              <w:t>2370.69</w:t>
            </w:r>
          </w:p>
        </w:tc>
        <w:tc>
          <w:tcPr>
            <w:tcW w:w="1085" w:type="pct"/>
            <w:shd w:val="clear" w:color="auto" w:fill="auto"/>
            <w:noWrap/>
            <w:vAlign w:val="center"/>
          </w:tcPr>
          <w:p w:rsidR="002C4463" w:rsidRPr="0089051C" w:rsidRDefault="00620CE1" w:rsidP="006A326E">
            <w:pPr>
              <w:widowControl/>
              <w:jc w:val="center"/>
              <w:rPr>
                <w:bCs/>
                <w:color w:val="000000" w:themeColor="text1"/>
              </w:rPr>
            </w:pPr>
            <w:r w:rsidRPr="00620CE1">
              <w:rPr>
                <w:color w:val="000000" w:themeColor="text1"/>
              </w:rPr>
              <w:t>73.85</w:t>
            </w:r>
            <w:r w:rsidR="00444D71" w:rsidRPr="00444D71">
              <w:rPr>
                <w:color w:val="000000" w:themeColor="text1"/>
              </w:rPr>
              <w:t>%</w:t>
            </w:r>
          </w:p>
        </w:tc>
        <w:tc>
          <w:tcPr>
            <w:tcW w:w="820" w:type="pct"/>
            <w:shd w:val="clear" w:color="auto" w:fill="auto"/>
            <w:noWrap/>
            <w:vAlign w:val="center"/>
          </w:tcPr>
          <w:p w:rsidR="002C4463" w:rsidRPr="0089051C" w:rsidRDefault="00620CE1" w:rsidP="006A326E">
            <w:pPr>
              <w:widowControl/>
              <w:jc w:val="center"/>
              <w:rPr>
                <w:bCs/>
                <w:color w:val="000000" w:themeColor="text1"/>
              </w:rPr>
            </w:pPr>
            <w:r w:rsidRPr="00620CE1">
              <w:rPr>
                <w:color w:val="000000" w:themeColor="text1"/>
              </w:rPr>
              <w:t>73.85</w:t>
            </w:r>
            <w:r w:rsidRPr="00444D71">
              <w:rPr>
                <w:color w:val="000000" w:themeColor="text1"/>
              </w:rPr>
              <w:t>%</w:t>
            </w:r>
          </w:p>
        </w:tc>
      </w:tr>
      <w:tr w:rsidR="002C4463" w:rsidTr="001B3B7F">
        <w:trPr>
          <w:trHeight w:val="342"/>
          <w:jc w:val="center"/>
        </w:trPr>
        <w:tc>
          <w:tcPr>
            <w:tcW w:w="234"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360" w:type="pct"/>
            <w:vMerge w:val="restar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color w:val="000000" w:themeColor="text1"/>
                <w:kern w:val="0"/>
                <w:sz w:val="18"/>
                <w:szCs w:val="24"/>
              </w:rPr>
              <w:t>S</w:t>
            </w:r>
          </w:p>
        </w:tc>
        <w:tc>
          <w:tcPr>
            <w:tcW w:w="1795" w:type="pct"/>
            <w:gridSpan w:val="2"/>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道路与交通设施用地</w:t>
            </w:r>
          </w:p>
        </w:tc>
        <w:tc>
          <w:tcPr>
            <w:tcW w:w="705" w:type="pct"/>
            <w:shd w:val="clear" w:color="auto" w:fill="auto"/>
            <w:noWrap/>
            <w:vAlign w:val="center"/>
          </w:tcPr>
          <w:p w:rsidR="002C4463" w:rsidRDefault="00620CE1" w:rsidP="006A326E">
            <w:pPr>
              <w:widowControl/>
              <w:jc w:val="center"/>
              <w:rPr>
                <w:b/>
                <w:color w:val="000000" w:themeColor="text1"/>
              </w:rPr>
            </w:pPr>
            <w:r w:rsidRPr="00620CE1">
              <w:rPr>
                <w:b/>
                <w:color w:val="000000" w:themeColor="text1"/>
              </w:rPr>
              <w:t xml:space="preserve">839.64 </w:t>
            </w:r>
            <w:r w:rsidR="002C4463" w:rsidRPr="00AC4F2E">
              <w:rPr>
                <w:b/>
                <w:color w:val="000000" w:themeColor="text1"/>
              </w:rPr>
              <w:t xml:space="preserve"> </w:t>
            </w:r>
            <w:r w:rsidR="002C4463" w:rsidRPr="0089051C">
              <w:rPr>
                <w:b/>
                <w:color w:val="000000" w:themeColor="text1"/>
              </w:rPr>
              <w:t xml:space="preserve"> </w:t>
            </w:r>
            <w:r w:rsidR="002C4463">
              <w:rPr>
                <w:b/>
                <w:color w:val="000000" w:themeColor="text1"/>
              </w:rPr>
              <w:t xml:space="preserve"> </w:t>
            </w:r>
          </w:p>
        </w:tc>
        <w:tc>
          <w:tcPr>
            <w:tcW w:w="1085" w:type="pct"/>
            <w:shd w:val="clear" w:color="auto" w:fill="auto"/>
            <w:noWrap/>
            <w:vAlign w:val="center"/>
          </w:tcPr>
          <w:p w:rsidR="002C4463" w:rsidRPr="0089051C" w:rsidRDefault="00620CE1" w:rsidP="006A326E">
            <w:pPr>
              <w:widowControl/>
              <w:jc w:val="center"/>
              <w:rPr>
                <w:b/>
                <w:color w:val="000000" w:themeColor="text1"/>
              </w:rPr>
            </w:pPr>
            <w:r>
              <w:rPr>
                <w:b/>
                <w:color w:val="000000" w:themeColor="text1"/>
              </w:rPr>
              <w:t>26.15</w:t>
            </w:r>
            <w:r w:rsidR="002C4463" w:rsidRPr="00AC4F2E">
              <w:rPr>
                <w:b/>
                <w:color w:val="000000" w:themeColor="text1"/>
              </w:rPr>
              <w:t>%</w:t>
            </w:r>
          </w:p>
        </w:tc>
        <w:tc>
          <w:tcPr>
            <w:tcW w:w="820" w:type="pct"/>
            <w:shd w:val="clear" w:color="auto" w:fill="auto"/>
            <w:noWrap/>
            <w:vAlign w:val="center"/>
          </w:tcPr>
          <w:p w:rsidR="002C4463" w:rsidRPr="0089051C" w:rsidRDefault="00620CE1" w:rsidP="006A326E">
            <w:pPr>
              <w:widowControl/>
              <w:jc w:val="center"/>
              <w:rPr>
                <w:b/>
                <w:color w:val="000000" w:themeColor="text1"/>
              </w:rPr>
            </w:pPr>
            <w:r>
              <w:rPr>
                <w:b/>
                <w:color w:val="000000" w:themeColor="text1"/>
              </w:rPr>
              <w:t>26.15</w:t>
            </w:r>
            <w:r w:rsidRPr="00AC4F2E">
              <w:rPr>
                <w:b/>
                <w:color w:val="000000" w:themeColor="text1"/>
              </w:rPr>
              <w:t>%</w:t>
            </w:r>
          </w:p>
        </w:tc>
      </w:tr>
      <w:tr w:rsidR="002C4463" w:rsidTr="001B3B7F">
        <w:trPr>
          <w:trHeight w:val="342"/>
          <w:jc w:val="center"/>
        </w:trPr>
        <w:tc>
          <w:tcPr>
            <w:tcW w:w="234"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360" w:type="pct"/>
            <w:vMerge/>
            <w:vAlign w:val="center"/>
          </w:tcPr>
          <w:p w:rsidR="002C4463" w:rsidRDefault="002C4463" w:rsidP="006A326E">
            <w:pPr>
              <w:widowControl/>
              <w:jc w:val="left"/>
              <w:rPr>
                <w:rFonts w:asciiTheme="minorEastAsia" w:hAnsiTheme="minorEastAsia" w:cs="宋体"/>
                <w:color w:val="000000" w:themeColor="text1"/>
                <w:kern w:val="0"/>
                <w:sz w:val="18"/>
                <w:szCs w:val="24"/>
              </w:rPr>
            </w:pPr>
          </w:p>
        </w:tc>
        <w:tc>
          <w:tcPr>
            <w:tcW w:w="684" w:type="pc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color w:val="000000" w:themeColor="text1"/>
                <w:kern w:val="0"/>
                <w:sz w:val="18"/>
                <w:szCs w:val="24"/>
              </w:rPr>
              <w:t>S1</w:t>
            </w:r>
          </w:p>
        </w:tc>
        <w:tc>
          <w:tcPr>
            <w:tcW w:w="1111" w:type="pct"/>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城市道路用地</w:t>
            </w:r>
          </w:p>
        </w:tc>
        <w:tc>
          <w:tcPr>
            <w:tcW w:w="705" w:type="pct"/>
            <w:shd w:val="clear" w:color="auto" w:fill="auto"/>
            <w:noWrap/>
            <w:vAlign w:val="center"/>
          </w:tcPr>
          <w:p w:rsidR="002C4463" w:rsidRDefault="00620CE1" w:rsidP="006A326E">
            <w:pPr>
              <w:widowControl/>
              <w:jc w:val="center"/>
              <w:rPr>
                <w:bCs/>
                <w:color w:val="000000" w:themeColor="text1"/>
              </w:rPr>
            </w:pPr>
            <w:r w:rsidRPr="00620CE1">
              <w:rPr>
                <w:bCs/>
                <w:color w:val="000000" w:themeColor="text1"/>
              </w:rPr>
              <w:t xml:space="preserve">839.64 </w:t>
            </w:r>
            <w:r w:rsidR="002C4463" w:rsidRPr="00AC4F2E">
              <w:rPr>
                <w:bCs/>
                <w:color w:val="000000" w:themeColor="text1"/>
              </w:rPr>
              <w:t xml:space="preserve"> </w:t>
            </w:r>
            <w:r w:rsidR="002C4463" w:rsidRPr="0089051C">
              <w:rPr>
                <w:bCs/>
                <w:color w:val="000000" w:themeColor="text1"/>
              </w:rPr>
              <w:t xml:space="preserve"> </w:t>
            </w:r>
            <w:r w:rsidR="002C4463">
              <w:rPr>
                <w:bCs/>
                <w:color w:val="000000" w:themeColor="text1"/>
              </w:rPr>
              <w:t xml:space="preserve"> </w:t>
            </w:r>
          </w:p>
        </w:tc>
        <w:tc>
          <w:tcPr>
            <w:tcW w:w="1085" w:type="pct"/>
            <w:shd w:val="clear" w:color="auto" w:fill="auto"/>
            <w:noWrap/>
            <w:vAlign w:val="center"/>
          </w:tcPr>
          <w:p w:rsidR="002C4463" w:rsidRPr="0089051C" w:rsidRDefault="00620CE1" w:rsidP="006A326E">
            <w:pPr>
              <w:widowControl/>
              <w:jc w:val="center"/>
              <w:rPr>
                <w:bCs/>
                <w:color w:val="000000" w:themeColor="text1"/>
              </w:rPr>
            </w:pPr>
            <w:r w:rsidRPr="00620CE1">
              <w:rPr>
                <w:color w:val="000000" w:themeColor="text1"/>
              </w:rPr>
              <w:t>26.15%</w:t>
            </w:r>
          </w:p>
        </w:tc>
        <w:tc>
          <w:tcPr>
            <w:tcW w:w="820" w:type="pct"/>
            <w:shd w:val="clear" w:color="auto" w:fill="auto"/>
            <w:noWrap/>
            <w:vAlign w:val="center"/>
          </w:tcPr>
          <w:p w:rsidR="002C4463" w:rsidRPr="0089051C" w:rsidRDefault="00620CE1" w:rsidP="006A326E">
            <w:pPr>
              <w:widowControl/>
              <w:jc w:val="center"/>
              <w:rPr>
                <w:bCs/>
                <w:color w:val="000000" w:themeColor="text1"/>
              </w:rPr>
            </w:pPr>
            <w:r w:rsidRPr="00620CE1">
              <w:rPr>
                <w:color w:val="000000" w:themeColor="text1"/>
              </w:rPr>
              <w:t>26.15%</w:t>
            </w:r>
          </w:p>
        </w:tc>
      </w:tr>
      <w:tr w:rsidR="002C4463" w:rsidTr="001B3B7F">
        <w:trPr>
          <w:trHeight w:val="342"/>
          <w:jc w:val="center"/>
        </w:trPr>
        <w:tc>
          <w:tcPr>
            <w:tcW w:w="2389" w:type="pct"/>
            <w:gridSpan w:val="4"/>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城市建设用地</w:t>
            </w:r>
          </w:p>
        </w:tc>
        <w:tc>
          <w:tcPr>
            <w:tcW w:w="705" w:type="pct"/>
            <w:shd w:val="clear" w:color="auto" w:fill="auto"/>
            <w:noWrap/>
            <w:vAlign w:val="center"/>
          </w:tcPr>
          <w:p w:rsidR="002C4463" w:rsidRDefault="00620CE1" w:rsidP="006A326E">
            <w:pPr>
              <w:widowControl/>
              <w:jc w:val="center"/>
              <w:rPr>
                <w:b/>
                <w:color w:val="000000" w:themeColor="text1"/>
              </w:rPr>
            </w:pPr>
            <w:r w:rsidRPr="00620CE1">
              <w:rPr>
                <w:b/>
                <w:color w:val="000000" w:themeColor="text1"/>
              </w:rPr>
              <w:t>3210.33</w:t>
            </w:r>
            <w:r w:rsidR="007F7D90" w:rsidRPr="007F7D90">
              <w:rPr>
                <w:b/>
                <w:color w:val="000000" w:themeColor="text1"/>
              </w:rPr>
              <w:t xml:space="preserve"> </w:t>
            </w:r>
            <w:r w:rsidR="002C4463">
              <w:rPr>
                <w:b/>
                <w:color w:val="000000" w:themeColor="text1"/>
              </w:rPr>
              <w:t xml:space="preserve"> </w:t>
            </w:r>
          </w:p>
        </w:tc>
        <w:tc>
          <w:tcPr>
            <w:tcW w:w="1085" w:type="pct"/>
            <w:shd w:val="clear" w:color="auto" w:fill="auto"/>
            <w:noWrap/>
            <w:vAlign w:val="center"/>
          </w:tcPr>
          <w:p w:rsidR="002C4463" w:rsidRDefault="002C4463" w:rsidP="006A326E">
            <w:pPr>
              <w:widowControl/>
              <w:jc w:val="center"/>
              <w:rPr>
                <w:b/>
                <w:color w:val="000000" w:themeColor="text1"/>
              </w:rPr>
            </w:pPr>
            <w:r>
              <w:rPr>
                <w:b/>
                <w:color w:val="000000" w:themeColor="text1"/>
              </w:rPr>
              <w:t>100.00%</w:t>
            </w:r>
          </w:p>
        </w:tc>
        <w:tc>
          <w:tcPr>
            <w:tcW w:w="820" w:type="pct"/>
            <w:shd w:val="clear" w:color="auto" w:fill="auto"/>
            <w:noWrap/>
            <w:vAlign w:val="center"/>
          </w:tcPr>
          <w:p w:rsidR="002C4463" w:rsidRDefault="002C4463" w:rsidP="006A326E">
            <w:pPr>
              <w:widowControl/>
              <w:jc w:val="center"/>
              <w:rPr>
                <w:b/>
                <w:color w:val="000000" w:themeColor="text1"/>
              </w:rPr>
            </w:pPr>
            <w:r>
              <w:rPr>
                <w:rFonts w:hint="eastAsia"/>
                <w:b/>
                <w:color w:val="000000" w:themeColor="text1"/>
              </w:rPr>
              <w:t>100.00</w:t>
            </w:r>
            <w:r>
              <w:rPr>
                <w:b/>
                <w:color w:val="000000" w:themeColor="text1"/>
              </w:rPr>
              <w:t>%</w:t>
            </w:r>
          </w:p>
        </w:tc>
      </w:tr>
      <w:tr w:rsidR="002C4463" w:rsidTr="001B3B7F">
        <w:trPr>
          <w:trHeight w:val="342"/>
          <w:jc w:val="center"/>
        </w:trPr>
        <w:tc>
          <w:tcPr>
            <w:tcW w:w="2389" w:type="pct"/>
            <w:gridSpan w:val="4"/>
            <w:shd w:val="clear" w:color="auto" w:fill="auto"/>
            <w:noWrap/>
            <w:vAlign w:val="center"/>
          </w:tcPr>
          <w:p w:rsidR="002C4463" w:rsidRDefault="002C4463" w:rsidP="006A326E">
            <w:pPr>
              <w:widowControl/>
              <w:jc w:val="center"/>
              <w:rPr>
                <w:rFonts w:asciiTheme="minorEastAsia" w:hAnsiTheme="minorEastAsia" w:cs="宋体"/>
                <w:color w:val="000000" w:themeColor="text1"/>
                <w:kern w:val="0"/>
                <w:sz w:val="18"/>
                <w:szCs w:val="24"/>
              </w:rPr>
            </w:pPr>
            <w:r>
              <w:rPr>
                <w:rFonts w:asciiTheme="minorEastAsia" w:hAnsiTheme="minorEastAsia" w:cs="宋体" w:hint="eastAsia"/>
                <w:color w:val="000000" w:themeColor="text1"/>
                <w:kern w:val="0"/>
                <w:sz w:val="18"/>
                <w:szCs w:val="24"/>
              </w:rPr>
              <w:t>总用地面积</w:t>
            </w:r>
          </w:p>
        </w:tc>
        <w:tc>
          <w:tcPr>
            <w:tcW w:w="705" w:type="pct"/>
            <w:shd w:val="clear" w:color="auto" w:fill="auto"/>
            <w:noWrap/>
            <w:vAlign w:val="center"/>
          </w:tcPr>
          <w:p w:rsidR="002C4463" w:rsidRDefault="00620CE1" w:rsidP="006A326E">
            <w:pPr>
              <w:widowControl/>
              <w:jc w:val="center"/>
              <w:rPr>
                <w:b/>
                <w:color w:val="000000" w:themeColor="text1"/>
              </w:rPr>
            </w:pPr>
            <w:r w:rsidRPr="00620CE1">
              <w:rPr>
                <w:b/>
                <w:color w:val="000000" w:themeColor="text1"/>
              </w:rPr>
              <w:t>3210.33</w:t>
            </w:r>
          </w:p>
        </w:tc>
        <w:tc>
          <w:tcPr>
            <w:tcW w:w="1085" w:type="pct"/>
            <w:shd w:val="clear" w:color="auto" w:fill="auto"/>
            <w:noWrap/>
            <w:vAlign w:val="center"/>
          </w:tcPr>
          <w:p w:rsidR="002C4463" w:rsidRDefault="002C4463" w:rsidP="006A326E">
            <w:pPr>
              <w:widowControl/>
              <w:jc w:val="center"/>
              <w:rPr>
                <w:color w:val="000000" w:themeColor="text1"/>
              </w:rPr>
            </w:pPr>
            <w:r>
              <w:rPr>
                <w:rFonts w:hint="eastAsia"/>
                <w:color w:val="000000" w:themeColor="text1"/>
              </w:rPr>
              <w:t>—</w:t>
            </w:r>
          </w:p>
        </w:tc>
        <w:tc>
          <w:tcPr>
            <w:tcW w:w="820" w:type="pct"/>
            <w:shd w:val="clear" w:color="auto" w:fill="auto"/>
            <w:noWrap/>
            <w:vAlign w:val="center"/>
          </w:tcPr>
          <w:p w:rsidR="002C4463" w:rsidRDefault="002C4463" w:rsidP="006A326E">
            <w:pPr>
              <w:widowControl/>
              <w:jc w:val="center"/>
              <w:rPr>
                <w:b/>
                <w:color w:val="000000" w:themeColor="text1"/>
              </w:rPr>
            </w:pPr>
            <w:r>
              <w:rPr>
                <w:rFonts w:hint="eastAsia"/>
                <w:b/>
                <w:color w:val="000000" w:themeColor="text1"/>
              </w:rPr>
              <w:t>100.00%</w:t>
            </w:r>
          </w:p>
        </w:tc>
      </w:tr>
    </w:tbl>
    <w:p w:rsidR="00EC47A7" w:rsidRDefault="00EC47A7" w:rsidP="00EC47A7">
      <w:pPr>
        <w:pStyle w:val="1"/>
        <w:tabs>
          <w:tab w:val="left" w:pos="6663"/>
        </w:tabs>
        <w:spacing w:before="120" w:after="480" w:line="360" w:lineRule="auto"/>
        <w:jc w:val="center"/>
        <w:rPr>
          <w:rFonts w:ascii="仿宋_GB2312" w:eastAsia="仿宋_GB2312" w:hAnsi="Times New Roman"/>
          <w:sz w:val="32"/>
          <w:szCs w:val="32"/>
        </w:rPr>
      </w:pPr>
      <w:bookmarkStart w:id="3" w:name="_Toc107565792"/>
      <w:r>
        <w:rPr>
          <w:rFonts w:ascii="仿宋_GB2312" w:eastAsia="仿宋_GB2312" w:hAnsi="Times New Roman" w:hint="eastAsia"/>
          <w:sz w:val="32"/>
          <w:szCs w:val="32"/>
        </w:rPr>
        <w:t>第三章  地块划分与控制</w:t>
      </w:r>
      <w:bookmarkEnd w:id="3"/>
    </w:p>
    <w:p w:rsidR="00EC47A7" w:rsidRPr="00327683"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sidRPr="00327683">
        <w:rPr>
          <w:rFonts w:ascii="仿宋_GB2312" w:eastAsia="仿宋_GB2312" w:cs="Times New Roman" w:hint="eastAsia"/>
          <w:b/>
        </w:rPr>
        <w:t>地块划分</w:t>
      </w:r>
    </w:p>
    <w:p w:rsidR="003C5ABD" w:rsidRDefault="003C5ABD" w:rsidP="003C5ABD">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本次规划范围内分为</w:t>
      </w:r>
      <w:r>
        <w:rPr>
          <w:rFonts w:ascii="仿宋_GB2312" w:eastAsia="仿宋_GB2312" w:hAnsi="Times New Roman"/>
          <w:sz w:val="24"/>
          <w:szCs w:val="24"/>
        </w:rPr>
        <w:t>1</w:t>
      </w:r>
      <w:r>
        <w:rPr>
          <w:rFonts w:ascii="仿宋_GB2312" w:eastAsia="仿宋_GB2312" w:hAnsi="Times New Roman" w:hint="eastAsia"/>
          <w:sz w:val="24"/>
          <w:szCs w:val="24"/>
        </w:rPr>
        <w:t>个规划管理单元，即</w:t>
      </w:r>
      <w:r w:rsidR="00620CE1">
        <w:rPr>
          <w:rFonts w:ascii="仿宋_GB2312" w:eastAsia="仿宋_GB2312" w:hAnsi="Times New Roman"/>
          <w:sz w:val="24"/>
          <w:szCs w:val="24"/>
        </w:rPr>
        <w:t>DT040</w:t>
      </w:r>
      <w:r>
        <w:rPr>
          <w:rFonts w:ascii="仿宋_GB2312" w:eastAsia="仿宋_GB2312" w:hAnsi="Times New Roman"/>
          <w:sz w:val="24"/>
          <w:szCs w:val="24"/>
        </w:rPr>
        <w:t>单元</w:t>
      </w:r>
      <w:r>
        <w:rPr>
          <w:rFonts w:ascii="仿宋_GB2312" w:eastAsia="仿宋_GB2312" w:hAnsi="Times New Roman" w:hint="eastAsia"/>
          <w:sz w:val="24"/>
          <w:szCs w:val="24"/>
        </w:rPr>
        <w:t>。</w:t>
      </w:r>
    </w:p>
    <w:p w:rsidR="00EC47A7" w:rsidRPr="003C5ABD" w:rsidRDefault="003C5ABD" w:rsidP="003C5ABD">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地块编码采用二级编码方法，由“规划编制单元</w:t>
      </w:r>
      <w:r>
        <w:rPr>
          <w:rFonts w:ascii="仿宋_GB2312" w:eastAsia="仿宋_GB2312" w:hAnsi="Times New Roman"/>
          <w:sz w:val="24"/>
          <w:szCs w:val="24"/>
        </w:rPr>
        <w:t>-</w:t>
      </w:r>
      <w:r>
        <w:rPr>
          <w:rFonts w:ascii="仿宋_GB2312" w:eastAsia="仿宋_GB2312" w:hAnsi="Times New Roman" w:hint="eastAsia"/>
          <w:sz w:val="24"/>
          <w:szCs w:val="24"/>
        </w:rPr>
        <w:t>地块代码”组成。本规划范围内分区规划编制单元为</w:t>
      </w:r>
      <w:r w:rsidR="00A36405" w:rsidRPr="00A36405">
        <w:rPr>
          <w:rFonts w:ascii="仿宋_GB2312" w:eastAsia="仿宋_GB2312" w:hAnsi="Times New Roman"/>
          <w:sz w:val="24"/>
          <w:szCs w:val="24"/>
        </w:rPr>
        <w:t>DT040</w:t>
      </w:r>
      <w:r>
        <w:rPr>
          <w:rFonts w:ascii="仿宋_GB2312" w:eastAsia="仿宋_GB2312" w:hAnsi="Times New Roman" w:hint="eastAsia"/>
          <w:sz w:val="24"/>
          <w:szCs w:val="24"/>
        </w:rPr>
        <w:t>，地块代码采用二位数的阿拉伯数字01、02表示，如</w:t>
      </w:r>
      <w:r w:rsidR="00A36405" w:rsidRPr="00A36405">
        <w:rPr>
          <w:rFonts w:ascii="仿宋_GB2312" w:eastAsia="仿宋_GB2312" w:hAnsi="Times New Roman"/>
          <w:sz w:val="24"/>
          <w:szCs w:val="24"/>
        </w:rPr>
        <w:t>DT040</w:t>
      </w:r>
      <w:r>
        <w:rPr>
          <w:rFonts w:ascii="仿宋_GB2312" w:eastAsia="仿宋_GB2312" w:hAnsi="Times New Roman"/>
          <w:sz w:val="24"/>
          <w:szCs w:val="24"/>
        </w:rPr>
        <w:t>-</w:t>
      </w:r>
      <w:r>
        <w:rPr>
          <w:rFonts w:ascii="仿宋_GB2312" w:eastAsia="仿宋_GB2312" w:hAnsi="Times New Roman" w:hint="eastAsia"/>
          <w:sz w:val="24"/>
          <w:szCs w:val="24"/>
        </w:rPr>
        <w:t>01表示</w:t>
      </w:r>
      <w:r w:rsidR="00A36405" w:rsidRPr="00A36405">
        <w:rPr>
          <w:rFonts w:ascii="仿宋_GB2312" w:eastAsia="仿宋_GB2312" w:hAnsi="Times New Roman"/>
          <w:sz w:val="24"/>
          <w:szCs w:val="24"/>
        </w:rPr>
        <w:t>DT040</w:t>
      </w:r>
      <w:r>
        <w:rPr>
          <w:rFonts w:ascii="仿宋_GB2312" w:eastAsia="仿宋_GB2312" w:hAnsi="Times New Roman" w:hint="eastAsia"/>
          <w:sz w:val="24"/>
          <w:szCs w:val="24"/>
        </w:rPr>
        <w:t>编制单元01地块。本次规划分为</w:t>
      </w:r>
      <w:r w:rsidR="00620CE1">
        <w:rPr>
          <w:rFonts w:ascii="仿宋_GB2312" w:eastAsia="仿宋_GB2312" w:hAnsi="Times New Roman"/>
          <w:sz w:val="24"/>
          <w:szCs w:val="24"/>
        </w:rPr>
        <w:t>1</w:t>
      </w:r>
      <w:r w:rsidR="00620CE1">
        <w:rPr>
          <w:rFonts w:ascii="仿宋_GB2312" w:eastAsia="仿宋_GB2312" w:hAnsi="Times New Roman" w:hint="eastAsia"/>
          <w:sz w:val="24"/>
          <w:szCs w:val="24"/>
        </w:rPr>
        <w:t>个地块，</w:t>
      </w:r>
      <w:r>
        <w:rPr>
          <w:rFonts w:ascii="仿宋_GB2312" w:eastAsia="仿宋_GB2312" w:hAnsi="Times New Roman" w:hint="eastAsia"/>
          <w:sz w:val="24"/>
          <w:szCs w:val="24"/>
        </w:rPr>
        <w:t>为</w:t>
      </w:r>
      <w:r w:rsidR="00620CE1">
        <w:rPr>
          <w:rFonts w:ascii="仿宋_GB2312" w:eastAsia="仿宋_GB2312" w:hAnsi="Times New Roman"/>
          <w:sz w:val="24"/>
          <w:szCs w:val="24"/>
        </w:rPr>
        <w:t>DT040</w:t>
      </w:r>
      <w:r>
        <w:rPr>
          <w:rFonts w:ascii="仿宋_GB2312" w:eastAsia="仿宋_GB2312" w:hAnsi="Times New Roman"/>
          <w:sz w:val="24"/>
          <w:szCs w:val="24"/>
        </w:rPr>
        <w:t>-01。</w:t>
      </w:r>
      <w:bookmarkStart w:id="4" w:name="_GoBack"/>
      <w:bookmarkEnd w:id="4"/>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地块界线管制</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lastRenderedPageBreak/>
        <w:t>本规划所确定的地块界线，并不一定代表实际开发的用地红线范围，在获得规划行政主管部门批准后，具体开发建设可根据实际情况对细分地块进行合并或对地块进行细分，但应保持开发建设总量不变。对须预留公共开放空间、公共走廊和</w:t>
      </w:r>
      <w:proofErr w:type="gramStart"/>
      <w:r>
        <w:rPr>
          <w:rFonts w:ascii="仿宋_GB2312" w:eastAsia="仿宋_GB2312" w:hAnsi="Times New Roman" w:hint="eastAsia"/>
          <w:sz w:val="24"/>
          <w:szCs w:val="24"/>
        </w:rPr>
        <w:t>景观视廊的</w:t>
      </w:r>
      <w:proofErr w:type="gramEnd"/>
      <w:r>
        <w:rPr>
          <w:rFonts w:ascii="仿宋_GB2312" w:eastAsia="仿宋_GB2312" w:hAnsi="Times New Roman" w:hint="eastAsia"/>
          <w:sz w:val="24"/>
          <w:szCs w:val="24"/>
        </w:rPr>
        <w:t>地块，政府应保留细分的优先权。</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用地性质管制</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在规划实施管理过程中，土地使用性质、用地界线及用地规模必须符合本规划的文本规定。因建设发展需要，土地使用性质可有条件地进行调整，其中用地性质调整应符合以下规定：</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（一）调整不得改变规划结构、用地构成比例。</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（二）调整宜为与原用地性质的兼容性质。</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（三）调整解释文件应附在本文件内（包括审批文件、变更说明及相应图纸）。</w:t>
      </w:r>
    </w:p>
    <w:p w:rsidR="00EC47A7" w:rsidRPr="00C475D0"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sidRPr="00C475D0">
        <w:rPr>
          <w:rFonts w:ascii="仿宋_GB2312" w:eastAsia="仿宋_GB2312" w:cs="Times New Roman" w:hint="eastAsia"/>
          <w:b/>
        </w:rPr>
        <w:t>用地兼容性规定</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为提高地块开发建设的适应性，规划用地二类工业用地的兼容性为：地块原规划用地性质上，混合一类工业用地用地规模比例可达100%。</w:t>
      </w:r>
    </w:p>
    <w:p w:rsidR="00EC47A7" w:rsidRDefault="00EC47A7" w:rsidP="00EC47A7">
      <w:pPr>
        <w:spacing w:line="360" w:lineRule="auto"/>
        <w:jc w:val="center"/>
        <w:rPr>
          <w:rFonts w:ascii="仿宋_GB2312" w:eastAsia="仿宋_GB2312" w:hAnsi="Times New Roman"/>
          <w:sz w:val="24"/>
          <w:szCs w:val="24"/>
        </w:rPr>
      </w:pPr>
    </w:p>
    <w:p w:rsidR="00EC47A7" w:rsidRDefault="00EC47A7" w:rsidP="00EC47A7">
      <w:pPr>
        <w:spacing w:line="360" w:lineRule="auto"/>
        <w:jc w:val="center"/>
        <w:rPr>
          <w:rFonts w:ascii="仿宋_GB2312" w:eastAsia="仿宋_GB2312" w:hAnsi="Times New Roman"/>
          <w:sz w:val="24"/>
          <w:szCs w:val="24"/>
        </w:rPr>
      </w:pPr>
      <w:r>
        <w:rPr>
          <w:rFonts w:ascii="仿宋_GB2312" w:eastAsia="仿宋_GB2312" w:hAnsi="Times New Roman"/>
          <w:sz w:val="24"/>
          <w:szCs w:val="24"/>
        </w:rPr>
        <w:br w:type="page"/>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lastRenderedPageBreak/>
        <w:t>土地混合使用的管制</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非居住类用地原则上不得进行成套住宅和宿舍的建设。</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土地使用强度控制指标体系</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本规划采用容积率、建筑密度、绿地率作为土地使用强度控制指标。</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（一）容积率：即规划地块内各类建筑总面积与地块面积之比，控制其上限值，本规划确定的容积率为地块净容积率。</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（二）建筑密度：即规划地块内各类建筑基底占地面积与地块面积之比，控制其上限值，本规划确定的建筑密度为地块净建筑密度。</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（三）绿地率：指地块内绿地面积与地块面积之比，控制其下限值。</w:t>
      </w:r>
    </w:p>
    <w:p w:rsidR="00EC47A7" w:rsidRDefault="00EC47A7" w:rsidP="00EC47A7">
      <w:pPr>
        <w:spacing w:line="360" w:lineRule="auto"/>
        <w:ind w:firstLineChars="200" w:firstLine="480"/>
        <w:rPr>
          <w:rFonts w:ascii="仿宋_GB2312" w:eastAsia="仿宋_GB2312" w:hAnsi="Times New Roman"/>
          <w:sz w:val="24"/>
          <w:szCs w:val="24"/>
        </w:rPr>
      </w:pPr>
    </w:p>
    <w:p w:rsidR="00EC47A7" w:rsidRDefault="00EC47A7" w:rsidP="00EC47A7">
      <w:r>
        <w:br w:type="page"/>
      </w:r>
    </w:p>
    <w:p w:rsidR="00EC47A7" w:rsidRDefault="00EC47A7" w:rsidP="00EC47A7">
      <w:pPr>
        <w:pStyle w:val="1"/>
        <w:spacing w:before="120" w:after="480" w:line="360" w:lineRule="auto"/>
        <w:jc w:val="center"/>
        <w:rPr>
          <w:rFonts w:ascii="仿宋_GB2312" w:eastAsia="仿宋_GB2312" w:hAnsi="Times New Roman"/>
          <w:sz w:val="32"/>
          <w:szCs w:val="32"/>
        </w:rPr>
      </w:pPr>
      <w:bookmarkStart w:id="5" w:name="_Toc107565793"/>
      <w:r>
        <w:rPr>
          <w:rFonts w:ascii="仿宋_GB2312" w:eastAsia="仿宋_GB2312" w:hAnsi="Times New Roman" w:hint="eastAsia"/>
          <w:sz w:val="32"/>
          <w:szCs w:val="32"/>
        </w:rPr>
        <w:lastRenderedPageBreak/>
        <w:t xml:space="preserve">第四章  </w:t>
      </w:r>
      <w:r>
        <w:rPr>
          <w:rFonts w:ascii="仿宋_GB2312" w:eastAsia="仿宋_GB2312" w:hAnsi="Times New Roman" w:hint="eastAsia"/>
          <w:sz w:val="32"/>
          <w:szCs w:val="32"/>
          <w:lang w:val="en-US"/>
        </w:rPr>
        <w:t>道路系统</w:t>
      </w:r>
      <w:r>
        <w:rPr>
          <w:rFonts w:ascii="仿宋_GB2312" w:eastAsia="仿宋_GB2312" w:hAnsi="Times New Roman" w:hint="eastAsia"/>
          <w:sz w:val="32"/>
          <w:szCs w:val="32"/>
        </w:rPr>
        <w:t>规划</w:t>
      </w:r>
      <w:bookmarkEnd w:id="5"/>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规划原则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（1）整体性原则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规划片区周边道路网应符合道路路网规划，应立足</w:t>
      </w:r>
      <w:proofErr w:type="gramStart"/>
      <w:r>
        <w:rPr>
          <w:rFonts w:ascii="仿宋_GB2312" w:eastAsia="仿宋_GB2312" w:hAnsi="Times New Roman" w:hint="eastAsia"/>
          <w:sz w:val="24"/>
          <w:szCs w:val="24"/>
        </w:rPr>
        <w:t>于登塘镇道路</w:t>
      </w:r>
      <w:proofErr w:type="gramEnd"/>
      <w:r>
        <w:rPr>
          <w:rFonts w:ascii="仿宋_GB2312" w:eastAsia="仿宋_GB2312" w:hAnsi="Times New Roman" w:hint="eastAsia"/>
          <w:sz w:val="24"/>
          <w:szCs w:val="24"/>
        </w:rPr>
        <w:t>交通体系规划的协调，促进道路交通网络的完善。</w:t>
      </w:r>
    </w:p>
    <w:p w:rsidR="00EC47A7" w:rsidRDefault="00EC47A7" w:rsidP="00EC47A7">
      <w:pPr>
        <w:numPr>
          <w:ilvl w:val="0"/>
          <w:numId w:val="4"/>
        </w:num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协调性原则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协调用地改造与道路交通建设的时序部署，一方面利用改造</w:t>
      </w:r>
      <w:proofErr w:type="gramStart"/>
      <w:r>
        <w:rPr>
          <w:rFonts w:ascii="仿宋_GB2312" w:eastAsia="仿宋_GB2312" w:hAnsi="Times New Roman"/>
          <w:sz w:val="24"/>
          <w:szCs w:val="24"/>
        </w:rPr>
        <w:t>推动</w:t>
      </w:r>
      <w:r>
        <w:rPr>
          <w:rFonts w:ascii="仿宋_GB2312" w:eastAsia="仿宋_GB2312" w:hAnsi="Times New Roman" w:hint="eastAsia"/>
          <w:sz w:val="24"/>
          <w:szCs w:val="24"/>
        </w:rPr>
        <w:t>登塘</w:t>
      </w:r>
      <w:r>
        <w:rPr>
          <w:rFonts w:ascii="仿宋_GB2312" w:eastAsia="仿宋_GB2312" w:hAnsi="Times New Roman"/>
          <w:sz w:val="24"/>
          <w:szCs w:val="24"/>
        </w:rPr>
        <w:t>镇</w:t>
      </w:r>
      <w:proofErr w:type="gramEnd"/>
      <w:r>
        <w:rPr>
          <w:rFonts w:ascii="仿宋_GB2312" w:eastAsia="仿宋_GB2312" w:hAnsi="Times New Roman"/>
          <w:sz w:val="24"/>
          <w:szCs w:val="24"/>
        </w:rPr>
        <w:t>道路系统的完善与更新，另一方面则通过道路建设推动道路两侧用地的</w:t>
      </w:r>
      <w:r>
        <w:rPr>
          <w:rFonts w:ascii="仿宋_GB2312" w:eastAsia="仿宋_GB2312" w:hAnsi="Times New Roman" w:hint="eastAsia"/>
          <w:sz w:val="24"/>
          <w:szCs w:val="24"/>
        </w:rPr>
        <w:t>开发</w:t>
      </w:r>
      <w:r>
        <w:rPr>
          <w:rFonts w:ascii="仿宋_GB2312" w:eastAsia="仿宋_GB2312" w:hAnsi="Times New Roman"/>
          <w:sz w:val="24"/>
          <w:szCs w:val="24"/>
        </w:rPr>
        <w:t>建设。此外，规划片区周边路网通行能力应与用地性质及土地开发强度相协调，为确保交通安全，尽量减少规划建设通往快速路的道路。从多方面共同协调来确定最终的道路系统规划及建设。</w:t>
      </w:r>
    </w:p>
    <w:p w:rsidR="00EC47A7" w:rsidRPr="00C475D0"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sidRPr="00C475D0">
        <w:rPr>
          <w:rFonts w:ascii="仿宋_GB2312" w:eastAsia="仿宋_GB2312" w:cs="Times New Roman" w:hint="eastAsia"/>
          <w:b/>
        </w:rPr>
        <w:t>道路布局</w:t>
      </w:r>
    </w:p>
    <w:p w:rsidR="00EC47A7" w:rsidRDefault="00A74065"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在道路系统规划中，规划片区的道路系统与</w:t>
      </w:r>
      <w:proofErr w:type="gramStart"/>
      <w:r>
        <w:rPr>
          <w:rFonts w:ascii="仿宋_GB2312" w:eastAsia="仿宋_GB2312" w:hAnsi="Times New Roman" w:hint="eastAsia"/>
          <w:sz w:val="24"/>
          <w:szCs w:val="24"/>
        </w:rPr>
        <w:t>登塘镇区域</w:t>
      </w:r>
      <w:proofErr w:type="gramEnd"/>
      <w:r>
        <w:rPr>
          <w:rFonts w:ascii="仿宋_GB2312" w:eastAsia="仿宋_GB2312" w:hAnsi="Times New Roman" w:hint="eastAsia"/>
          <w:sz w:val="24"/>
          <w:szCs w:val="24"/>
        </w:rPr>
        <w:t>内现状道路衔接</w:t>
      </w:r>
      <w:r w:rsidR="00EC47A7">
        <w:rPr>
          <w:rFonts w:ascii="仿宋_GB2312" w:eastAsia="仿宋_GB2312" w:hAnsi="Times New Roman" w:hint="eastAsia"/>
          <w:sz w:val="24"/>
          <w:szCs w:val="24"/>
        </w:rPr>
        <w:t>。</w:t>
      </w:r>
    </w:p>
    <w:p w:rsidR="00EC47A7" w:rsidRDefault="00EC47A7" w:rsidP="00EC47A7">
      <w:pPr>
        <w:spacing w:line="360" w:lineRule="auto"/>
        <w:ind w:firstLineChars="200" w:firstLine="480"/>
        <w:rPr>
          <w:rFonts w:ascii="仿宋_GB2312" w:eastAsia="仿宋_GB2312" w:hAnsi="Times New Roman"/>
          <w:sz w:val="24"/>
          <w:szCs w:val="24"/>
        </w:rPr>
      </w:pPr>
    </w:p>
    <w:p w:rsidR="00EC47A7" w:rsidRDefault="00EC47A7" w:rsidP="00EC47A7">
      <w:r>
        <w:br w:type="page"/>
      </w:r>
    </w:p>
    <w:p w:rsidR="00EC47A7" w:rsidRDefault="00EC47A7" w:rsidP="00EC47A7">
      <w:pPr>
        <w:pStyle w:val="1"/>
        <w:spacing w:before="120" w:after="480" w:line="360" w:lineRule="auto"/>
        <w:jc w:val="center"/>
        <w:rPr>
          <w:rFonts w:ascii="仿宋_GB2312" w:eastAsia="仿宋_GB2312" w:hAnsi="Times New Roman"/>
          <w:sz w:val="32"/>
          <w:szCs w:val="32"/>
        </w:rPr>
      </w:pPr>
      <w:bookmarkStart w:id="6" w:name="_Toc107565794"/>
      <w:r>
        <w:rPr>
          <w:rFonts w:ascii="仿宋_GB2312" w:eastAsia="仿宋_GB2312" w:hAnsi="Times New Roman" w:hint="eastAsia"/>
          <w:sz w:val="32"/>
          <w:szCs w:val="32"/>
        </w:rPr>
        <w:lastRenderedPageBreak/>
        <w:t>第</w:t>
      </w:r>
      <w:r>
        <w:rPr>
          <w:rFonts w:ascii="仿宋_GB2312" w:eastAsia="仿宋_GB2312" w:hAnsi="Times New Roman" w:hint="eastAsia"/>
          <w:sz w:val="32"/>
          <w:szCs w:val="32"/>
          <w:lang w:val="en-US"/>
        </w:rPr>
        <w:t>五</w:t>
      </w:r>
      <w:r>
        <w:rPr>
          <w:rFonts w:ascii="仿宋_GB2312" w:eastAsia="仿宋_GB2312" w:hAnsi="Times New Roman" w:hint="eastAsia"/>
          <w:sz w:val="32"/>
          <w:szCs w:val="32"/>
        </w:rPr>
        <w:t>章  市政基础设施规划</w:t>
      </w:r>
      <w:bookmarkEnd w:id="6"/>
    </w:p>
    <w:p w:rsidR="00EC47A7" w:rsidRDefault="00EC47A7" w:rsidP="00EC47A7">
      <w:pPr>
        <w:pStyle w:val="2"/>
        <w:spacing w:beforeLines="100" w:before="312" w:afterLines="50" w:after="156" w:line="360" w:lineRule="auto"/>
        <w:jc w:val="center"/>
        <w:rPr>
          <w:rFonts w:ascii="仿宋_GB2312" w:eastAsia="仿宋_GB2312" w:hAnsi="宋体"/>
          <w:bCs w:val="0"/>
          <w:sz w:val="28"/>
          <w:szCs w:val="24"/>
        </w:rPr>
      </w:pPr>
      <w:r>
        <w:rPr>
          <w:rFonts w:ascii="仿宋_GB2312" w:eastAsia="仿宋_GB2312" w:hAnsi="宋体" w:hint="eastAsia"/>
          <w:bCs w:val="0"/>
          <w:sz w:val="28"/>
          <w:szCs w:val="24"/>
        </w:rPr>
        <w:t>第一节  竖向工程规划</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rPr>
      </w:pPr>
      <w:r>
        <w:rPr>
          <w:rFonts w:ascii="仿宋_GB2312" w:eastAsia="仿宋_GB2312" w:hAnsi="宋体" w:hint="eastAsia"/>
          <w:b/>
        </w:rPr>
        <w:t>规划目标</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通过对规划区现状地形地貌、道路标高、排水系统的调研及分析，对规划区的城市竖向系统进行科学规划、合理建设，最终达到建设用地布局合理、工程造价经济、景观优美、自然生态等目标。</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rPr>
      </w:pPr>
      <w:r>
        <w:rPr>
          <w:rFonts w:ascii="仿宋_GB2312" w:eastAsia="仿宋_GB2312" w:hAnsi="宋体" w:hint="eastAsia"/>
          <w:b/>
        </w:rPr>
        <w:t>规划原则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（一）可持续原则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注重生态环境的塑造，减少对自然生态体系的破坏和冲击,使规划区实现生态环境的可持续发展。</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（二）弹性原则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充分重视开发时序，引导规划区分期建设，强化规划的可操作性，使开发的每个阶段紧凑、集中，又为以后开发留有余地，使规划具有弹性。</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（三）经济性原则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规划在满足道路使用功能和防洪的前提下，尽可能地减小填方区域的土方工程投资。</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rPr>
      </w:pPr>
      <w:r>
        <w:rPr>
          <w:rFonts w:ascii="仿宋_GB2312" w:eastAsia="仿宋_GB2312" w:hAnsi="宋体" w:hint="eastAsia"/>
          <w:b/>
        </w:rPr>
        <w:t>道路竖向规划</w:t>
      </w:r>
    </w:p>
    <w:p w:rsidR="00EC47A7" w:rsidRDefault="00EC47A7" w:rsidP="00EC47A7">
      <w:pPr>
        <w:spacing w:line="360" w:lineRule="auto"/>
        <w:ind w:firstLineChars="200" w:firstLine="480"/>
        <w:rPr>
          <w:rFonts w:ascii="仿宋_GB2312" w:eastAsia="仿宋_GB2312"/>
          <w:sz w:val="24"/>
          <w:szCs w:val="24"/>
        </w:rPr>
      </w:pPr>
      <w:r>
        <w:rPr>
          <w:rFonts w:ascii="仿宋_GB2312" w:eastAsia="仿宋_GB2312" w:hint="eastAsia"/>
          <w:sz w:val="24"/>
          <w:szCs w:val="24"/>
        </w:rPr>
        <w:t>竖向设计以顺应地形并考虑到与周边地块衔接为原则，通过设置合理的纵坡，减少土方量，并做到近期减少边坡防护工程量，远期能与地块开发竖向能较好的顺接进行设计。道路设计时按下表进行设计。</w:t>
      </w:r>
    </w:p>
    <w:p w:rsidR="00EC47A7" w:rsidRDefault="00EC47A7" w:rsidP="00EC47A7">
      <w:pPr>
        <w:spacing w:line="360" w:lineRule="auto"/>
        <w:ind w:firstLineChars="200" w:firstLine="480"/>
        <w:jc w:val="center"/>
        <w:rPr>
          <w:rFonts w:ascii="仿宋_GB2312" w:eastAsia="仿宋_GB2312"/>
          <w:sz w:val="24"/>
          <w:szCs w:val="24"/>
        </w:rPr>
      </w:pPr>
      <w:r>
        <w:rPr>
          <w:rFonts w:ascii="仿宋_GB2312" w:eastAsia="仿宋_GB2312" w:hint="eastAsia"/>
          <w:sz w:val="24"/>
          <w:szCs w:val="24"/>
        </w:rPr>
        <w:t>表5</w:t>
      </w:r>
      <w:r>
        <w:rPr>
          <w:rFonts w:ascii="仿宋_GB2312" w:eastAsia="仿宋_GB2312"/>
          <w:sz w:val="24"/>
          <w:szCs w:val="24"/>
        </w:rPr>
        <w:t xml:space="preserve">-1 </w:t>
      </w:r>
      <w:r>
        <w:rPr>
          <w:rFonts w:ascii="仿宋_GB2312" w:eastAsia="仿宋_GB2312" w:hint="eastAsia"/>
          <w:sz w:val="24"/>
          <w:szCs w:val="24"/>
        </w:rPr>
        <w:t>道路规划纵坡表</w:t>
      </w:r>
    </w:p>
    <w:tbl>
      <w:tblPr>
        <w:tblW w:w="79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805"/>
        <w:gridCol w:w="2456"/>
        <w:gridCol w:w="1983"/>
      </w:tblGrid>
      <w:tr w:rsidR="00EC47A7" w:rsidTr="00F864E4">
        <w:tc>
          <w:tcPr>
            <w:tcW w:w="1739"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道路类别</w:t>
            </w:r>
          </w:p>
        </w:tc>
        <w:tc>
          <w:tcPr>
            <w:tcW w:w="1805" w:type="dxa"/>
            <w:vAlign w:val="center"/>
          </w:tcPr>
          <w:p w:rsidR="00EC47A7" w:rsidRDefault="00EC47A7" w:rsidP="00F864E4">
            <w:pPr>
              <w:spacing w:line="360" w:lineRule="auto"/>
              <w:rPr>
                <w:rFonts w:ascii="仿宋_GB2312" w:eastAsia="仿宋_GB2312"/>
                <w:sz w:val="24"/>
                <w:szCs w:val="24"/>
              </w:rPr>
            </w:pPr>
            <w:r>
              <w:rPr>
                <w:rFonts w:ascii="仿宋_GB2312" w:eastAsia="仿宋_GB2312" w:hint="eastAsia"/>
                <w:sz w:val="24"/>
                <w:szCs w:val="24"/>
              </w:rPr>
              <w:t>最小纵坡（%）</w:t>
            </w:r>
          </w:p>
        </w:tc>
        <w:tc>
          <w:tcPr>
            <w:tcW w:w="2456"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最大纵坡（%）</w:t>
            </w:r>
          </w:p>
        </w:tc>
        <w:tc>
          <w:tcPr>
            <w:tcW w:w="1983" w:type="dxa"/>
            <w:vAlign w:val="center"/>
          </w:tcPr>
          <w:p w:rsidR="00EC47A7" w:rsidRDefault="00EC47A7" w:rsidP="00F864E4">
            <w:pPr>
              <w:spacing w:line="360" w:lineRule="auto"/>
              <w:rPr>
                <w:rFonts w:ascii="仿宋_GB2312" w:eastAsia="仿宋_GB2312"/>
                <w:sz w:val="24"/>
                <w:szCs w:val="24"/>
              </w:rPr>
            </w:pPr>
            <w:r>
              <w:rPr>
                <w:rFonts w:ascii="仿宋_GB2312" w:eastAsia="仿宋_GB2312" w:hint="eastAsia"/>
                <w:sz w:val="24"/>
                <w:szCs w:val="24"/>
              </w:rPr>
              <w:t>最小坡长（m）</w:t>
            </w:r>
          </w:p>
        </w:tc>
      </w:tr>
      <w:tr w:rsidR="00EC47A7" w:rsidTr="00F864E4">
        <w:tc>
          <w:tcPr>
            <w:tcW w:w="1739"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主干路</w:t>
            </w:r>
          </w:p>
        </w:tc>
        <w:tc>
          <w:tcPr>
            <w:tcW w:w="1805" w:type="dxa"/>
            <w:vMerge w:val="restart"/>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0.</w:t>
            </w:r>
            <w:r w:rsidR="001B3B7F">
              <w:rPr>
                <w:rFonts w:ascii="仿宋_GB2312" w:eastAsia="仿宋_GB2312"/>
                <w:sz w:val="24"/>
                <w:szCs w:val="24"/>
              </w:rPr>
              <w:t>3</w:t>
            </w:r>
          </w:p>
        </w:tc>
        <w:tc>
          <w:tcPr>
            <w:tcW w:w="2456"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5</w:t>
            </w:r>
          </w:p>
        </w:tc>
        <w:tc>
          <w:tcPr>
            <w:tcW w:w="1983"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170</w:t>
            </w:r>
          </w:p>
        </w:tc>
      </w:tr>
      <w:tr w:rsidR="00EC47A7" w:rsidTr="00F864E4">
        <w:trPr>
          <w:trHeight w:val="229"/>
        </w:trPr>
        <w:tc>
          <w:tcPr>
            <w:tcW w:w="1739"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次干路</w:t>
            </w:r>
          </w:p>
        </w:tc>
        <w:tc>
          <w:tcPr>
            <w:tcW w:w="1805" w:type="dxa"/>
            <w:vMerge/>
            <w:vAlign w:val="center"/>
          </w:tcPr>
          <w:p w:rsidR="00EC47A7" w:rsidRDefault="00EC47A7" w:rsidP="00F864E4">
            <w:pPr>
              <w:spacing w:line="360" w:lineRule="auto"/>
              <w:ind w:firstLineChars="200" w:firstLine="480"/>
              <w:rPr>
                <w:rFonts w:ascii="仿宋_GB2312" w:eastAsia="仿宋_GB2312"/>
                <w:sz w:val="24"/>
                <w:szCs w:val="24"/>
              </w:rPr>
            </w:pPr>
          </w:p>
        </w:tc>
        <w:tc>
          <w:tcPr>
            <w:tcW w:w="2456"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6</w:t>
            </w:r>
          </w:p>
        </w:tc>
        <w:tc>
          <w:tcPr>
            <w:tcW w:w="1983"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110</w:t>
            </w:r>
          </w:p>
        </w:tc>
      </w:tr>
      <w:tr w:rsidR="00EC47A7" w:rsidTr="00F864E4">
        <w:tc>
          <w:tcPr>
            <w:tcW w:w="1739"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支路</w:t>
            </w:r>
          </w:p>
        </w:tc>
        <w:tc>
          <w:tcPr>
            <w:tcW w:w="1805" w:type="dxa"/>
            <w:vMerge/>
            <w:vAlign w:val="center"/>
          </w:tcPr>
          <w:p w:rsidR="00EC47A7" w:rsidRDefault="00EC47A7" w:rsidP="00F864E4">
            <w:pPr>
              <w:spacing w:line="360" w:lineRule="auto"/>
              <w:ind w:firstLineChars="200" w:firstLine="480"/>
              <w:rPr>
                <w:rFonts w:ascii="仿宋_GB2312" w:eastAsia="仿宋_GB2312"/>
                <w:sz w:val="24"/>
                <w:szCs w:val="24"/>
              </w:rPr>
            </w:pPr>
          </w:p>
        </w:tc>
        <w:tc>
          <w:tcPr>
            <w:tcW w:w="2456"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8</w:t>
            </w:r>
          </w:p>
        </w:tc>
        <w:tc>
          <w:tcPr>
            <w:tcW w:w="1983" w:type="dxa"/>
            <w:vAlign w:val="center"/>
          </w:tcPr>
          <w:p w:rsidR="00EC47A7" w:rsidRDefault="00EC47A7" w:rsidP="00F864E4">
            <w:pPr>
              <w:spacing w:line="360" w:lineRule="auto"/>
              <w:ind w:firstLineChars="200" w:firstLine="480"/>
              <w:rPr>
                <w:rFonts w:ascii="仿宋_GB2312" w:eastAsia="仿宋_GB2312"/>
                <w:sz w:val="24"/>
                <w:szCs w:val="24"/>
              </w:rPr>
            </w:pPr>
            <w:r>
              <w:rPr>
                <w:rFonts w:ascii="仿宋_GB2312" w:eastAsia="仿宋_GB2312" w:hint="eastAsia"/>
                <w:sz w:val="24"/>
                <w:szCs w:val="24"/>
              </w:rPr>
              <w:t>60</w:t>
            </w:r>
          </w:p>
        </w:tc>
      </w:tr>
    </w:tbl>
    <w:p w:rsidR="00EC47A7" w:rsidRDefault="00EC47A7" w:rsidP="00EC47A7">
      <w:pPr>
        <w:spacing w:line="360" w:lineRule="auto"/>
        <w:ind w:firstLineChars="200" w:firstLine="480"/>
        <w:rPr>
          <w:rFonts w:ascii="仿宋_GB2312" w:eastAsia="仿宋_GB2312"/>
          <w:sz w:val="24"/>
          <w:szCs w:val="24"/>
        </w:rPr>
      </w:pPr>
      <w:proofErr w:type="gramStart"/>
      <w:r>
        <w:rPr>
          <w:rFonts w:ascii="仿宋_GB2312" w:eastAsia="仿宋_GB2312" w:hint="eastAsia"/>
          <w:sz w:val="24"/>
          <w:szCs w:val="24"/>
        </w:rPr>
        <w:t>回填区</w:t>
      </w:r>
      <w:proofErr w:type="gramEnd"/>
      <w:r>
        <w:rPr>
          <w:rFonts w:ascii="仿宋_GB2312" w:eastAsia="仿宋_GB2312" w:hint="eastAsia"/>
          <w:sz w:val="24"/>
          <w:szCs w:val="24"/>
        </w:rPr>
        <w:t>道路标高按照低于地块标高0.2m～0.3m，道路纵坡基本上按不小于</w:t>
      </w:r>
      <w:r w:rsidR="001B3B7F">
        <w:rPr>
          <w:rFonts w:ascii="仿宋_GB2312" w:eastAsia="仿宋_GB2312" w:hint="eastAsia"/>
          <w:sz w:val="24"/>
          <w:szCs w:val="24"/>
        </w:rPr>
        <w:t>0.3</w:t>
      </w:r>
      <w:r>
        <w:rPr>
          <w:rFonts w:ascii="仿宋_GB2312" w:eastAsia="仿宋_GB2312" w:hint="eastAsia"/>
          <w:sz w:val="24"/>
          <w:szCs w:val="24"/>
        </w:rPr>
        <w:t>%进行设计。</w:t>
      </w:r>
    </w:p>
    <w:p w:rsidR="00EC47A7" w:rsidRDefault="00EC47A7" w:rsidP="00EC47A7">
      <w:pPr>
        <w:pStyle w:val="2"/>
        <w:spacing w:beforeLines="100" w:before="312" w:afterLines="50" w:after="156" w:line="360" w:lineRule="auto"/>
        <w:jc w:val="center"/>
        <w:rPr>
          <w:rFonts w:ascii="仿宋_GB2312" w:eastAsia="仿宋_GB2312"/>
          <w:color w:val="000000" w:themeColor="text1"/>
          <w:sz w:val="24"/>
          <w:szCs w:val="24"/>
        </w:rPr>
      </w:pPr>
      <w:r>
        <w:rPr>
          <w:rFonts w:ascii="仿宋_GB2312" w:eastAsia="仿宋_GB2312" w:hAnsi="宋体" w:hint="eastAsia"/>
          <w:bCs w:val="0"/>
          <w:color w:val="000000" w:themeColor="text1"/>
          <w:sz w:val="28"/>
          <w:szCs w:val="24"/>
        </w:rPr>
        <w:lastRenderedPageBreak/>
        <w:t>第二节  给水工程规划</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水源规划</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Ansi="Times New Roman" w:hint="eastAsia"/>
          <w:color w:val="000000" w:themeColor="text1"/>
          <w:sz w:val="24"/>
          <w:szCs w:val="24"/>
        </w:rPr>
        <w:t>规划区近期</w:t>
      </w:r>
      <w:proofErr w:type="gramStart"/>
      <w:r>
        <w:rPr>
          <w:rFonts w:ascii="仿宋_GB2312" w:eastAsia="仿宋_GB2312" w:hAnsi="Times New Roman" w:hint="eastAsia"/>
          <w:color w:val="000000" w:themeColor="text1"/>
          <w:sz w:val="24"/>
          <w:szCs w:val="24"/>
        </w:rPr>
        <w:t>接驳登塘镇</w:t>
      </w:r>
      <w:proofErr w:type="gramEnd"/>
      <w:r>
        <w:rPr>
          <w:rFonts w:ascii="仿宋_GB2312" w:eastAsia="仿宋_GB2312" w:hAnsi="Times New Roman" w:hint="eastAsia"/>
          <w:color w:val="000000" w:themeColor="text1"/>
          <w:sz w:val="24"/>
          <w:szCs w:val="24"/>
        </w:rPr>
        <w:t>供水厂，远期接驳</w:t>
      </w:r>
      <w:r w:rsidR="00D45521" w:rsidRPr="00D45521">
        <w:rPr>
          <w:rFonts w:ascii="仿宋_GB2312" w:eastAsia="仿宋_GB2312" w:hAnsi="Times New Roman" w:hint="eastAsia"/>
          <w:color w:val="000000" w:themeColor="text1"/>
          <w:sz w:val="24"/>
          <w:szCs w:val="24"/>
        </w:rPr>
        <w:t>潮安区第三水厂</w:t>
      </w:r>
      <w:r>
        <w:rPr>
          <w:rFonts w:ascii="仿宋_GB2312" w:eastAsia="仿宋_GB2312" w:hAnsi="Times New Roman" w:hint="eastAsia"/>
          <w:color w:val="000000" w:themeColor="text1"/>
          <w:sz w:val="24"/>
          <w:szCs w:val="24"/>
        </w:rPr>
        <w:t>。</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输配水管网规划</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Ansi="Times New Roman" w:hint="eastAsia"/>
          <w:color w:val="000000" w:themeColor="text1"/>
          <w:sz w:val="24"/>
          <w:szCs w:val="24"/>
        </w:rPr>
        <w:t>（</w:t>
      </w:r>
      <w:r>
        <w:rPr>
          <w:rFonts w:ascii="仿宋_GB2312" w:eastAsia="仿宋_GB2312" w:hint="eastAsia"/>
          <w:color w:val="000000" w:themeColor="text1"/>
          <w:sz w:val="24"/>
          <w:szCs w:val="24"/>
        </w:rPr>
        <w:t>1）管网布局原则</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◆管网布置宜以最</w:t>
      </w:r>
      <w:proofErr w:type="gramStart"/>
      <w:r>
        <w:rPr>
          <w:rFonts w:ascii="仿宋_GB2312" w:eastAsia="仿宋_GB2312" w:hint="eastAsia"/>
          <w:color w:val="000000" w:themeColor="text1"/>
          <w:sz w:val="24"/>
          <w:szCs w:val="24"/>
        </w:rPr>
        <w:t>短线路输送</w:t>
      </w:r>
      <w:proofErr w:type="gramEnd"/>
      <w:r>
        <w:rPr>
          <w:rFonts w:ascii="仿宋_GB2312" w:eastAsia="仿宋_GB2312" w:hint="eastAsia"/>
          <w:color w:val="000000" w:themeColor="text1"/>
          <w:sz w:val="24"/>
          <w:szCs w:val="24"/>
        </w:rPr>
        <w:t>至用水量大的区域。</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◆管网规划以环形网络为主，枝状为辅，以保证供水安全性。</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◆规划管网设计只考虑DN200以上的配水干管，而街区小管道可根据实际情况与环形干管连接成小环形或枝状网。</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◆管道应尽可能敷设在现有或规划道路上，以利于施工维护。</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◆输、配管道流速宜按经济流速计算，并留有一定的发展的余地，以降低水厂长期的运行的电耗。</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（2）管网布置</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规划道路和新建设区域完善管网布设，并形成环状供水管网，管径为dn200-dn</w:t>
      </w:r>
      <w:r>
        <w:rPr>
          <w:rFonts w:ascii="仿宋_GB2312" w:eastAsia="仿宋_GB2312"/>
          <w:color w:val="000000" w:themeColor="text1"/>
          <w:sz w:val="24"/>
          <w:szCs w:val="24"/>
        </w:rPr>
        <w:t>600</w:t>
      </w:r>
      <w:r>
        <w:rPr>
          <w:rFonts w:ascii="仿宋_GB2312" w:eastAsia="仿宋_GB2312" w:hint="eastAsia"/>
          <w:color w:val="000000" w:themeColor="text1"/>
          <w:sz w:val="24"/>
          <w:szCs w:val="24"/>
        </w:rPr>
        <w:t>。</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节水规划</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（1）加强规划区供水管网的维护管理、改进测漏技术、使用新型管材和接口，采取有效措施防止管网漏失。</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（2）选用质量好的节水型用水器具，节约居民生活用水和公共场所用水。</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（3）政府引导。促进节水型企业入驻，限制耗水污染型工业发展，鼓励水资源重复利用。</w:t>
      </w:r>
    </w:p>
    <w:p w:rsidR="00EC47A7" w:rsidRDefault="00EC47A7" w:rsidP="00EC47A7">
      <w:pPr>
        <w:pStyle w:val="2"/>
        <w:spacing w:beforeLines="100" w:before="312" w:afterLines="50" w:after="156" w:line="360" w:lineRule="auto"/>
        <w:jc w:val="center"/>
        <w:rPr>
          <w:rFonts w:ascii="仿宋_GB2312" w:eastAsia="仿宋_GB2312"/>
          <w:color w:val="000000" w:themeColor="text1"/>
          <w:sz w:val="24"/>
          <w:szCs w:val="24"/>
        </w:rPr>
      </w:pPr>
      <w:r>
        <w:rPr>
          <w:rFonts w:ascii="仿宋_GB2312" w:eastAsia="仿宋_GB2312" w:hAnsi="宋体" w:hint="eastAsia"/>
          <w:bCs w:val="0"/>
          <w:color w:val="000000" w:themeColor="text1"/>
          <w:sz w:val="28"/>
          <w:szCs w:val="24"/>
        </w:rPr>
        <w:t>第三节  污水工程规划</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排水体系规划</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 xml:space="preserve"> </w:t>
      </w:r>
      <w:r w:rsidR="00D45521" w:rsidRPr="00D45521">
        <w:rPr>
          <w:rFonts w:ascii="仿宋_GB2312" w:eastAsia="仿宋_GB2312" w:hint="eastAsia"/>
          <w:color w:val="000000" w:themeColor="text1"/>
          <w:sz w:val="24"/>
          <w:szCs w:val="24"/>
        </w:rPr>
        <w:t>规划区的排水体制采用雨污分流制</w:t>
      </w:r>
      <w:r>
        <w:rPr>
          <w:rFonts w:ascii="仿宋_GB2312" w:eastAsia="仿宋_GB2312" w:hint="eastAsia"/>
          <w:color w:val="000000" w:themeColor="text1"/>
          <w:sz w:val="24"/>
          <w:szCs w:val="24"/>
        </w:rPr>
        <w:t>。</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污水系统</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污水近期主要排</w:t>
      </w:r>
      <w:proofErr w:type="gramStart"/>
      <w:r>
        <w:rPr>
          <w:rFonts w:ascii="仿宋_GB2312" w:eastAsia="仿宋_GB2312" w:hint="eastAsia"/>
          <w:color w:val="000000" w:themeColor="text1"/>
          <w:sz w:val="24"/>
          <w:szCs w:val="24"/>
        </w:rPr>
        <w:t>向登塘</w:t>
      </w:r>
      <w:proofErr w:type="gramEnd"/>
      <w:r>
        <w:rPr>
          <w:rFonts w:ascii="仿宋_GB2312" w:eastAsia="仿宋_GB2312" w:hint="eastAsia"/>
          <w:color w:val="000000" w:themeColor="text1"/>
          <w:sz w:val="24"/>
          <w:szCs w:val="24"/>
        </w:rPr>
        <w:t>镇污水厂进行处理，远期规划规模排向大岭山污水厂</w:t>
      </w:r>
      <w:r>
        <w:rPr>
          <w:rFonts w:ascii="仿宋_GB2312" w:eastAsia="仿宋_GB2312" w:hint="eastAsia"/>
          <w:color w:val="000000" w:themeColor="text1"/>
          <w:sz w:val="24"/>
          <w:szCs w:val="24"/>
        </w:rPr>
        <w:lastRenderedPageBreak/>
        <w:t>进行处理。</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污水管网规划</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 xml:space="preserve"> 污水</w:t>
      </w:r>
      <w:proofErr w:type="gramStart"/>
      <w:r>
        <w:rPr>
          <w:rFonts w:ascii="仿宋_GB2312" w:eastAsia="仿宋_GB2312" w:hint="eastAsia"/>
          <w:color w:val="000000" w:themeColor="text1"/>
          <w:sz w:val="24"/>
          <w:szCs w:val="24"/>
        </w:rPr>
        <w:t>管渠以重力</w:t>
      </w:r>
      <w:proofErr w:type="gramEnd"/>
      <w:r>
        <w:rPr>
          <w:rFonts w:ascii="仿宋_GB2312" w:eastAsia="仿宋_GB2312" w:hint="eastAsia"/>
          <w:color w:val="000000" w:themeColor="text1"/>
          <w:sz w:val="24"/>
          <w:szCs w:val="24"/>
        </w:rPr>
        <w:t xml:space="preserve">流为主，沿主要道路敷设。 </w:t>
      </w:r>
    </w:p>
    <w:p w:rsidR="00EC47A7" w:rsidRDefault="00EC47A7" w:rsidP="00EC47A7">
      <w:pPr>
        <w:spacing w:line="360" w:lineRule="auto"/>
        <w:ind w:firstLineChars="200" w:firstLine="480"/>
        <w:rPr>
          <w:rFonts w:ascii="仿宋_GB2312" w:eastAsia="仿宋_GB2312"/>
          <w:color w:val="000000" w:themeColor="text1"/>
          <w:sz w:val="24"/>
          <w:szCs w:val="24"/>
        </w:rPr>
      </w:pPr>
      <w:r>
        <w:rPr>
          <w:rFonts w:ascii="仿宋_GB2312" w:eastAsia="仿宋_GB2312" w:hint="eastAsia"/>
          <w:color w:val="000000" w:themeColor="text1"/>
          <w:sz w:val="24"/>
          <w:szCs w:val="24"/>
        </w:rPr>
        <w:t xml:space="preserve"> 规划区污水干管管径约为d</w:t>
      </w:r>
      <w:r>
        <w:rPr>
          <w:rFonts w:ascii="仿宋_GB2312" w:eastAsia="仿宋_GB2312"/>
          <w:color w:val="000000" w:themeColor="text1"/>
          <w:sz w:val="24"/>
          <w:szCs w:val="24"/>
        </w:rPr>
        <w:t>3</w:t>
      </w:r>
      <w:r>
        <w:rPr>
          <w:rFonts w:ascii="仿宋_GB2312" w:eastAsia="仿宋_GB2312" w:hint="eastAsia"/>
          <w:color w:val="000000" w:themeColor="text1"/>
          <w:sz w:val="24"/>
          <w:szCs w:val="24"/>
        </w:rPr>
        <w:t>00～d</w:t>
      </w:r>
      <w:r>
        <w:rPr>
          <w:rFonts w:ascii="仿宋_GB2312" w:eastAsia="仿宋_GB2312"/>
          <w:color w:val="000000" w:themeColor="text1"/>
          <w:sz w:val="24"/>
          <w:szCs w:val="24"/>
        </w:rPr>
        <w:t>4</w:t>
      </w:r>
      <w:r>
        <w:rPr>
          <w:rFonts w:ascii="仿宋_GB2312" w:eastAsia="仿宋_GB2312" w:hint="eastAsia"/>
          <w:color w:val="000000" w:themeColor="text1"/>
          <w:sz w:val="24"/>
          <w:szCs w:val="24"/>
        </w:rPr>
        <w:t>00，污水干管的起点覆土不小于</w:t>
      </w:r>
      <w:r>
        <w:rPr>
          <w:rFonts w:ascii="仿宋_GB2312" w:eastAsia="仿宋_GB2312"/>
          <w:color w:val="000000" w:themeColor="text1"/>
          <w:sz w:val="24"/>
          <w:szCs w:val="24"/>
        </w:rPr>
        <w:t>1.5</w:t>
      </w:r>
      <w:r>
        <w:rPr>
          <w:rFonts w:ascii="仿宋_GB2312" w:eastAsia="仿宋_GB2312" w:hint="eastAsia"/>
          <w:color w:val="000000" w:themeColor="text1"/>
          <w:sz w:val="24"/>
          <w:szCs w:val="24"/>
        </w:rPr>
        <w:t>m。在管道交汇处、转弯处、跌水处、管径或坡度改变处以及直线管段上每隔一定距离</w:t>
      </w:r>
      <w:proofErr w:type="gramStart"/>
      <w:r>
        <w:rPr>
          <w:rFonts w:ascii="仿宋_GB2312" w:eastAsia="仿宋_GB2312" w:hint="eastAsia"/>
          <w:color w:val="000000" w:themeColor="text1"/>
          <w:sz w:val="24"/>
          <w:szCs w:val="24"/>
        </w:rPr>
        <w:t>处应当</w:t>
      </w:r>
      <w:proofErr w:type="gramEnd"/>
      <w:r>
        <w:rPr>
          <w:rFonts w:ascii="仿宋_GB2312" w:eastAsia="仿宋_GB2312" w:hint="eastAsia"/>
          <w:color w:val="000000" w:themeColor="text1"/>
          <w:sz w:val="24"/>
          <w:szCs w:val="24"/>
        </w:rPr>
        <w:t>设检查井。</w:t>
      </w:r>
    </w:p>
    <w:p w:rsidR="00EC47A7" w:rsidRDefault="00EC47A7" w:rsidP="00EC47A7">
      <w:pPr>
        <w:pStyle w:val="2"/>
        <w:numPr>
          <w:ilvl w:val="0"/>
          <w:numId w:val="5"/>
        </w:numPr>
        <w:spacing w:beforeLines="100" w:before="312" w:afterLines="50" w:after="156" w:line="360" w:lineRule="auto"/>
        <w:jc w:val="center"/>
        <w:rPr>
          <w:rFonts w:ascii="仿宋_GB2312" w:eastAsia="仿宋_GB2312" w:hAnsi="宋体"/>
          <w:bCs w:val="0"/>
          <w:color w:val="000000" w:themeColor="text1"/>
          <w:sz w:val="28"/>
          <w:szCs w:val="24"/>
        </w:rPr>
      </w:pPr>
      <w:bookmarkStart w:id="7" w:name="_Toc367699928"/>
      <w:r>
        <w:rPr>
          <w:rFonts w:ascii="仿宋_GB2312" w:eastAsia="仿宋_GB2312" w:hAnsi="宋体" w:hint="eastAsia"/>
          <w:bCs w:val="0"/>
          <w:color w:val="000000" w:themeColor="text1"/>
          <w:sz w:val="28"/>
          <w:szCs w:val="24"/>
        </w:rPr>
        <w:t xml:space="preserve"> 雨水工程规划</w:t>
      </w:r>
      <w:bookmarkEnd w:id="7"/>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规划原则</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（1）根据地形、水系的位置合理划分排水分区</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（2）雨水管道将尽可能避免穿越堤防、其它障碍物，减少与其它管线交叉。</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（3）雨水管道的布置既要考虑其水力条件、经济条件，也考虑其可实施性。</w:t>
      </w:r>
    </w:p>
    <w:p w:rsidR="00EC47A7" w:rsidRDefault="00EC47A7" w:rsidP="00EC47A7">
      <w:pPr>
        <w:spacing w:line="360" w:lineRule="auto"/>
        <w:ind w:firstLineChars="200" w:firstLine="480"/>
        <w:rPr>
          <w:rFonts w:ascii="仿宋_GB2312" w:eastAsia="仿宋_GB2312"/>
          <w:color w:val="000000" w:themeColor="text1"/>
        </w:rPr>
      </w:pPr>
      <w:r>
        <w:rPr>
          <w:rFonts w:ascii="仿宋_GB2312" w:eastAsia="仿宋_GB2312" w:hAnsi="Times New Roman" w:hint="eastAsia"/>
          <w:color w:val="000000" w:themeColor="text1"/>
          <w:sz w:val="24"/>
          <w:szCs w:val="24"/>
        </w:rPr>
        <w:t>（4）从环境效益、规模效益等综合因素规划分区。</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设计暴雨强度</w:t>
      </w:r>
    </w:p>
    <w:p w:rsidR="00EC47A7" w:rsidRDefault="004D49CD"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雨量计算参考汕头市中心城区</w:t>
      </w:r>
      <w:r w:rsidR="00EC47A7">
        <w:rPr>
          <w:rFonts w:ascii="仿宋_GB2312" w:eastAsia="仿宋_GB2312" w:hAnsi="Times New Roman" w:hint="eastAsia"/>
          <w:color w:val="000000" w:themeColor="text1"/>
          <w:sz w:val="24"/>
          <w:szCs w:val="24"/>
        </w:rPr>
        <w:t>暴雨强度公式。</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bookmarkStart w:id="8" w:name="_Toc367699932"/>
      <w:r>
        <w:rPr>
          <w:rFonts w:ascii="仿宋_GB2312" w:eastAsia="仿宋_GB2312" w:hAnsi="宋体" w:hint="eastAsia"/>
          <w:b/>
          <w:color w:val="000000" w:themeColor="text1"/>
        </w:rPr>
        <w:t>雨水管网设计</w:t>
      </w:r>
      <w:bookmarkEnd w:id="8"/>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针对规划区的地势和竖向规划等情况，规划区内雨水排水线路以短为宜，雨水排放以就近排放为主。雨水管渠管径在</w:t>
      </w:r>
      <w:r>
        <w:rPr>
          <w:rFonts w:ascii="仿宋_GB2312" w:eastAsia="仿宋_GB2312" w:hAnsi="Times New Roman"/>
          <w:color w:val="000000" w:themeColor="text1"/>
          <w:sz w:val="24"/>
          <w:szCs w:val="24"/>
        </w:rPr>
        <w:t>d600~BxH=2.0m</w:t>
      </w:r>
      <w:r>
        <w:rPr>
          <w:rFonts w:ascii="仿宋_GB2312" w:eastAsia="仿宋_GB2312" w:hAnsi="Times New Roman"/>
          <w:color w:val="000000" w:themeColor="text1"/>
          <w:sz w:val="24"/>
          <w:szCs w:val="24"/>
        </w:rPr>
        <w:t>×</w:t>
      </w:r>
      <w:r>
        <w:rPr>
          <w:rFonts w:ascii="仿宋_GB2312" w:eastAsia="仿宋_GB2312" w:hAnsi="Times New Roman"/>
          <w:color w:val="000000" w:themeColor="text1"/>
          <w:sz w:val="24"/>
          <w:szCs w:val="24"/>
        </w:rPr>
        <w:t>1.8m</w:t>
      </w:r>
      <w:r>
        <w:rPr>
          <w:rFonts w:ascii="仿宋_GB2312" w:eastAsia="仿宋_GB2312" w:hAnsi="Times New Roman" w:hint="eastAsia"/>
          <w:color w:val="000000" w:themeColor="text1"/>
          <w:sz w:val="24"/>
          <w:szCs w:val="24"/>
        </w:rPr>
        <w:t>，管道起点埋深不小于1.2m。</w:t>
      </w:r>
    </w:p>
    <w:p w:rsidR="00EC47A7" w:rsidRDefault="00EC47A7" w:rsidP="00EC47A7">
      <w:pPr>
        <w:pStyle w:val="2"/>
        <w:numPr>
          <w:ilvl w:val="0"/>
          <w:numId w:val="5"/>
        </w:numPr>
        <w:spacing w:beforeLines="100" w:before="312" w:afterLines="50" w:after="156" w:line="360" w:lineRule="auto"/>
        <w:jc w:val="center"/>
        <w:rPr>
          <w:rFonts w:ascii="仿宋_GB2312" w:eastAsia="仿宋_GB2312" w:hAnsi="宋体"/>
          <w:bCs w:val="0"/>
          <w:color w:val="000000" w:themeColor="text1"/>
          <w:sz w:val="28"/>
          <w:szCs w:val="24"/>
        </w:rPr>
      </w:pPr>
      <w:r>
        <w:rPr>
          <w:rFonts w:ascii="仿宋_GB2312" w:eastAsia="仿宋_GB2312" w:hAnsi="宋体" w:hint="eastAsia"/>
          <w:bCs w:val="0"/>
          <w:color w:val="000000" w:themeColor="text1"/>
          <w:sz w:val="28"/>
          <w:szCs w:val="24"/>
        </w:rPr>
        <w:t>电力工程规划</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中压电网规划</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规划区内采用10kV中压配电网、220/380v低压配电网两级。</w:t>
      </w:r>
      <w:proofErr w:type="gramStart"/>
      <w:r>
        <w:rPr>
          <w:rFonts w:ascii="仿宋_GB2312" w:eastAsia="仿宋_GB2312" w:hAnsi="Times New Roman" w:hint="eastAsia"/>
          <w:color w:val="000000" w:themeColor="text1"/>
          <w:sz w:val="24"/>
          <w:szCs w:val="24"/>
        </w:rPr>
        <w:t>可接登塘镇</w:t>
      </w:r>
      <w:proofErr w:type="gramEnd"/>
      <w:r>
        <w:rPr>
          <w:rFonts w:ascii="仿宋_GB2312" w:eastAsia="仿宋_GB2312" w:hAnsi="Times New Roman" w:hint="eastAsia"/>
          <w:color w:val="000000" w:themeColor="text1"/>
          <w:sz w:val="24"/>
          <w:szCs w:val="24"/>
        </w:rPr>
        <w:t>郑岗村变电站。</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规划区内有条件可增设1个10kV开关房，10kV</w:t>
      </w:r>
      <w:proofErr w:type="gramStart"/>
      <w:r>
        <w:rPr>
          <w:rFonts w:ascii="仿宋_GB2312" w:eastAsia="仿宋_GB2312" w:hAnsi="Times New Roman" w:hint="eastAsia"/>
          <w:color w:val="000000" w:themeColor="text1"/>
          <w:sz w:val="24"/>
          <w:szCs w:val="24"/>
        </w:rPr>
        <w:t>开关房</w:t>
      </w:r>
      <w:proofErr w:type="gramEnd"/>
      <w:r>
        <w:rPr>
          <w:rFonts w:ascii="仿宋_GB2312" w:eastAsia="仿宋_GB2312" w:hAnsi="Times New Roman" w:hint="eastAsia"/>
          <w:color w:val="000000" w:themeColor="text1"/>
          <w:sz w:val="24"/>
          <w:szCs w:val="24"/>
        </w:rPr>
        <w:t>的容量按0.3~1.2万kVA规模设计，根据地块负荷分布情况，选择较适中的位置而设定，</w:t>
      </w:r>
      <w:proofErr w:type="gramStart"/>
      <w:r>
        <w:rPr>
          <w:rFonts w:ascii="仿宋_GB2312" w:eastAsia="仿宋_GB2312" w:hAnsi="Times New Roman" w:hint="eastAsia"/>
          <w:color w:val="000000" w:themeColor="text1"/>
          <w:sz w:val="24"/>
          <w:szCs w:val="24"/>
        </w:rPr>
        <w:t>宜设置</w:t>
      </w:r>
      <w:proofErr w:type="gramEnd"/>
      <w:r>
        <w:rPr>
          <w:rFonts w:ascii="仿宋_GB2312" w:eastAsia="仿宋_GB2312" w:hAnsi="Times New Roman" w:hint="eastAsia"/>
          <w:color w:val="000000" w:themeColor="text1"/>
          <w:sz w:val="24"/>
          <w:szCs w:val="24"/>
        </w:rPr>
        <w:t>于建筑物的首层或架空层，并且应考虑交通运输方便、保证供电半径、进出线便利等，同时应考虑</w:t>
      </w:r>
      <w:proofErr w:type="gramStart"/>
      <w:r>
        <w:rPr>
          <w:rFonts w:ascii="仿宋_GB2312" w:eastAsia="仿宋_GB2312" w:hAnsi="Times New Roman" w:hint="eastAsia"/>
          <w:color w:val="000000" w:themeColor="text1"/>
          <w:sz w:val="24"/>
          <w:szCs w:val="24"/>
        </w:rPr>
        <w:t>路灯专变摆放</w:t>
      </w:r>
      <w:proofErr w:type="gramEnd"/>
      <w:r>
        <w:rPr>
          <w:rFonts w:ascii="仿宋_GB2312" w:eastAsia="仿宋_GB2312" w:hAnsi="Times New Roman" w:hint="eastAsia"/>
          <w:color w:val="000000" w:themeColor="text1"/>
          <w:sz w:val="24"/>
          <w:szCs w:val="24"/>
        </w:rPr>
        <w:t>的位置。考虑变压器的平均负荷率为0.6~0.8，</w:t>
      </w:r>
      <w:proofErr w:type="gramStart"/>
      <w:r>
        <w:rPr>
          <w:rFonts w:ascii="仿宋_GB2312" w:eastAsia="仿宋_GB2312" w:hAnsi="Times New Roman" w:hint="eastAsia"/>
          <w:color w:val="000000" w:themeColor="text1"/>
          <w:sz w:val="24"/>
          <w:szCs w:val="24"/>
        </w:rPr>
        <w:t>开关房</w:t>
      </w:r>
      <w:proofErr w:type="gramEnd"/>
      <w:r>
        <w:rPr>
          <w:rFonts w:ascii="仿宋_GB2312" w:eastAsia="仿宋_GB2312" w:hAnsi="Times New Roman" w:hint="eastAsia"/>
          <w:color w:val="000000" w:themeColor="text1"/>
          <w:sz w:val="24"/>
          <w:szCs w:val="24"/>
        </w:rPr>
        <w:lastRenderedPageBreak/>
        <w:t>的建筑面积不小于100 m</w:t>
      </w:r>
      <w:r>
        <w:rPr>
          <w:rFonts w:ascii="仿宋_GB2312" w:eastAsia="仿宋_GB2312" w:hAnsi="Times New Roman" w:hint="eastAsia"/>
          <w:color w:val="000000" w:themeColor="text1"/>
          <w:sz w:val="24"/>
          <w:szCs w:val="24"/>
          <w:vertAlign w:val="superscript"/>
        </w:rPr>
        <w:t>2</w:t>
      </w:r>
      <w:r>
        <w:rPr>
          <w:rFonts w:ascii="仿宋_GB2312" w:eastAsia="仿宋_GB2312" w:hAnsi="Times New Roman" w:hint="eastAsia"/>
          <w:color w:val="000000" w:themeColor="text1"/>
          <w:sz w:val="24"/>
          <w:szCs w:val="24"/>
        </w:rPr>
        <w:t>。</w:t>
      </w:r>
    </w:p>
    <w:p w:rsidR="00EC47A7" w:rsidRDefault="00EC47A7" w:rsidP="00EC47A7">
      <w:pPr>
        <w:pStyle w:val="2"/>
        <w:numPr>
          <w:ilvl w:val="0"/>
          <w:numId w:val="5"/>
        </w:numPr>
        <w:spacing w:beforeLines="100" w:before="312" w:afterLines="50" w:after="156" w:line="360" w:lineRule="auto"/>
        <w:jc w:val="center"/>
        <w:rPr>
          <w:rFonts w:ascii="仿宋_GB2312" w:eastAsia="仿宋_GB2312" w:hAnsi="宋体"/>
          <w:bCs w:val="0"/>
          <w:color w:val="000000" w:themeColor="text1"/>
          <w:sz w:val="28"/>
          <w:szCs w:val="24"/>
        </w:rPr>
      </w:pPr>
      <w:r>
        <w:rPr>
          <w:rFonts w:ascii="仿宋_GB2312" w:eastAsia="仿宋_GB2312" w:hAnsi="宋体" w:hint="eastAsia"/>
          <w:bCs w:val="0"/>
          <w:color w:val="000000" w:themeColor="text1"/>
          <w:sz w:val="28"/>
          <w:szCs w:val="24"/>
        </w:rPr>
        <w:t>通信工程规划</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hAnsi="宋体"/>
          <w:b/>
          <w:color w:val="000000" w:themeColor="text1"/>
        </w:rPr>
      </w:pPr>
      <w:r>
        <w:rPr>
          <w:rFonts w:ascii="仿宋_GB2312" w:eastAsia="仿宋_GB2312" w:hAnsi="宋体" w:hint="eastAsia"/>
          <w:b/>
          <w:color w:val="000000" w:themeColor="text1"/>
        </w:rPr>
        <w:t>通信线路共建共享规划</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为减少重复建设，提高通信传输线路利用率，推动规划区内通信传输线路共建共享工作，统一、规范通信传输线路共建共享规划、设计、验收和维护。</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共建共享线路路由的选择应满足通信网络规划，并应结合水文、气象、地理、地形、地质、地震、交通、城市规划、土地利用、名胜古迹、电磁环境、环境保护、投资效益等因素综合比较选定，线路建设应考虑保护当地文物、自然水系、湿地、基本农田、森林和其他保护区。</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传输线路共建共享各方应在各自提出的共建共享需求的基础上进行分析、协商、形成并确认共建共享规划方案，以保证共建共享的传输线路能够最大程度的满足共建共享各方的需求。</w:t>
      </w:r>
    </w:p>
    <w:p w:rsidR="00EC47A7" w:rsidRDefault="00EC47A7" w:rsidP="00EC47A7">
      <w:pPr>
        <w:spacing w:line="360" w:lineRule="auto"/>
        <w:ind w:firstLineChars="200" w:firstLine="480"/>
        <w:rPr>
          <w:rFonts w:ascii="仿宋_GB2312" w:eastAsia="仿宋_GB2312" w:hAnsi="Times New Roman"/>
          <w:color w:val="000000" w:themeColor="text1"/>
          <w:sz w:val="24"/>
          <w:szCs w:val="24"/>
        </w:rPr>
      </w:pPr>
      <w:r>
        <w:rPr>
          <w:rFonts w:ascii="仿宋_GB2312" w:eastAsia="仿宋_GB2312" w:hAnsi="Times New Roman" w:hint="eastAsia"/>
          <w:color w:val="000000" w:themeColor="text1"/>
          <w:sz w:val="24"/>
          <w:szCs w:val="24"/>
        </w:rPr>
        <w:t>传输线路的共建共享规划应充分考虑各方的网络、业务安全、发展容量和维护等级因素。</w:t>
      </w:r>
    </w:p>
    <w:p w:rsidR="00EC47A7" w:rsidRDefault="00EC47A7" w:rsidP="00EC47A7">
      <w:r>
        <w:br w:type="page"/>
      </w:r>
    </w:p>
    <w:p w:rsidR="00EC47A7" w:rsidRDefault="00EC47A7" w:rsidP="00EC47A7">
      <w:pPr>
        <w:pStyle w:val="1"/>
        <w:spacing w:before="120" w:after="480" w:line="360" w:lineRule="auto"/>
        <w:jc w:val="center"/>
        <w:rPr>
          <w:rFonts w:ascii="仿宋_GB2312" w:eastAsia="仿宋_GB2312" w:hAnsi="Times New Roman"/>
          <w:sz w:val="32"/>
          <w:szCs w:val="32"/>
        </w:rPr>
      </w:pPr>
      <w:bookmarkStart w:id="9" w:name="_Toc107565795"/>
      <w:r>
        <w:rPr>
          <w:rFonts w:ascii="仿宋_GB2312" w:eastAsia="仿宋_GB2312" w:hAnsi="Times New Roman" w:hint="eastAsia"/>
          <w:sz w:val="32"/>
          <w:szCs w:val="32"/>
        </w:rPr>
        <w:lastRenderedPageBreak/>
        <w:t>第</w:t>
      </w:r>
      <w:r>
        <w:rPr>
          <w:rFonts w:ascii="仿宋_GB2312" w:eastAsia="仿宋_GB2312" w:hAnsi="Times New Roman" w:hint="eastAsia"/>
          <w:sz w:val="32"/>
          <w:szCs w:val="32"/>
          <w:lang w:val="en-US"/>
        </w:rPr>
        <w:t>六</w:t>
      </w:r>
      <w:r>
        <w:rPr>
          <w:rFonts w:ascii="仿宋_GB2312" w:eastAsia="仿宋_GB2312" w:hAnsi="Times New Roman" w:hint="eastAsia"/>
          <w:sz w:val="32"/>
          <w:szCs w:val="32"/>
        </w:rPr>
        <w:t>章 综合防灾规划</w:t>
      </w:r>
      <w:bookmarkEnd w:id="9"/>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规划原则</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按照“平战结合、平灾结合、预防为主、措施有效”的原则，既考虑工程性措施、非工程性对策，又充分考虑灾前防灾、灾时与灾后减灾措施。</w:t>
      </w:r>
    </w:p>
    <w:p w:rsidR="00EC47A7" w:rsidRDefault="00EC47A7" w:rsidP="00EC47A7">
      <w:pPr>
        <w:pStyle w:val="32205"/>
        <w:widowControl w:val="0"/>
        <w:numPr>
          <w:ilvl w:val="0"/>
          <w:numId w:val="3"/>
        </w:numPr>
        <w:tabs>
          <w:tab w:val="left" w:pos="0"/>
        </w:tabs>
        <w:spacing w:beforeLines="50" w:before="156" w:afterLines="0"/>
        <w:ind w:left="0" w:firstLine="0"/>
        <w:rPr>
          <w:rFonts w:ascii="仿宋_GB2312" w:eastAsia="仿宋_GB2312" w:cs="Times New Roman"/>
          <w:b/>
        </w:rPr>
      </w:pPr>
      <w:r>
        <w:rPr>
          <w:rFonts w:ascii="仿宋_GB2312" w:eastAsia="仿宋_GB2312" w:cs="Times New Roman" w:hint="eastAsia"/>
          <w:b/>
        </w:rPr>
        <w:t>防震减灾规划</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（1）设防标准</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《建筑抗震设计规范》（GB50011-2010）把潮安区划为地震基本烈度 8 度区，设计基本地震加速度值为 0.20g。规划期内，本镇一般建筑项目按抗震设防烈度等级 8 度设防，重点工程需按 9 度或地32震评估结论设防。</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（2）防震抗震措施</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根据建筑的具体防震抗震要求，公共建筑、楼房住宅、工业厂房要采取有效措施，尽量采用桩基础框架结构，以提高抗震能力；重要的建设工程要做好地震预防评价工作。结合新建或改建建筑留出空旷疏散用地。</w:t>
      </w:r>
    </w:p>
    <w:p w:rsidR="00EC47A7" w:rsidRDefault="00EC47A7" w:rsidP="00EC47A7">
      <w:pPr>
        <w:pStyle w:val="32205"/>
        <w:widowControl w:val="0"/>
        <w:numPr>
          <w:ilvl w:val="0"/>
          <w:numId w:val="3"/>
        </w:numPr>
        <w:tabs>
          <w:tab w:val="left" w:pos="0"/>
        </w:tabs>
        <w:spacing w:beforeLines="50" w:before="156" w:afterLines="0"/>
        <w:ind w:left="0" w:firstLine="422"/>
        <w:rPr>
          <w:rFonts w:ascii="仿宋_GB2312" w:eastAsia="仿宋_GB2312" w:cs="Times New Roman"/>
          <w:b/>
        </w:rPr>
      </w:pPr>
      <w:r>
        <w:rPr>
          <w:rFonts w:ascii="仿宋_GB2312" w:eastAsia="仿宋_GB2312" w:cs="Times New Roman" w:hint="eastAsia"/>
          <w:b/>
        </w:rPr>
        <w:t>防洪、排涝规划</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（1）防洪与排涝标准</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规划要求防患于未然，做好各种防范措施，尽量把自然灾害造成的损失减少到最低限度。规划片区建设按30年一遇洪水标准设防。</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 xml:space="preserve">排涝工程建设是基础设施建设的重要组成部分，主要设施是排水管网，因此排水管网必须完善。治涝标准按省定的涝区 </w:t>
      </w:r>
      <w:r w:rsidR="004D2930">
        <w:rPr>
          <w:rFonts w:ascii="仿宋_GB2312" w:eastAsia="仿宋_GB2312" w:hAnsi="Times New Roman" w:hint="eastAsia"/>
          <w:sz w:val="24"/>
          <w:szCs w:val="24"/>
        </w:rPr>
        <w:t>30</w:t>
      </w:r>
      <w:r>
        <w:rPr>
          <w:rFonts w:ascii="仿宋_GB2312" w:eastAsia="仿宋_GB2312" w:hAnsi="Times New Roman" w:hint="eastAsia"/>
          <w:sz w:val="24"/>
          <w:szCs w:val="24"/>
        </w:rPr>
        <w:t>年一遇24 小时暴雨所产生的径流量 1—3 天排干至设计水位，即集镇、工业基地、菜地和“三高”农业生产用地 1 天排干，鱼塘区 2 天排干，农田三天排干。</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（2）规划措施</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1</w:t>
      </w:r>
      <w:r>
        <w:rPr>
          <w:rFonts w:ascii="仿宋_GB2312" w:eastAsia="仿宋_GB2312" w:hAnsi="Times New Roman" w:hint="eastAsia"/>
          <w:sz w:val="24"/>
          <w:szCs w:val="24"/>
        </w:rPr>
        <w:t>）</w:t>
      </w:r>
      <w:r>
        <w:rPr>
          <w:rFonts w:ascii="仿宋_GB2312" w:eastAsia="仿宋_GB2312" w:hAnsi="Times New Roman"/>
          <w:sz w:val="24"/>
          <w:szCs w:val="24"/>
        </w:rPr>
        <w:t>工程措施</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规划期提高防洪排涝能力的重点放在以下三个方面：</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①</w:t>
      </w:r>
      <w:r>
        <w:rPr>
          <w:rFonts w:ascii="仿宋_GB2312" w:eastAsia="仿宋_GB2312" w:hAnsi="Times New Roman"/>
          <w:sz w:val="24"/>
          <w:szCs w:val="24"/>
        </w:rPr>
        <w:t>加强水土保持工作，严格制止破坏水土的行为，杜绝乱挖乱</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开采；</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②</w:t>
      </w:r>
      <w:r>
        <w:rPr>
          <w:rFonts w:ascii="仿宋_GB2312" w:eastAsia="仿宋_GB2312" w:hAnsi="Times New Roman"/>
          <w:sz w:val="24"/>
          <w:szCs w:val="24"/>
        </w:rPr>
        <w:t>充实排涝设施，提高防洪抗险能力。</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lastRenderedPageBreak/>
        <w:t>2</w:t>
      </w:r>
      <w:r>
        <w:rPr>
          <w:rFonts w:ascii="仿宋_GB2312" w:eastAsia="仿宋_GB2312" w:hAnsi="Times New Roman" w:hint="eastAsia"/>
          <w:sz w:val="24"/>
          <w:szCs w:val="24"/>
        </w:rPr>
        <w:t>）</w:t>
      </w:r>
      <w:r>
        <w:rPr>
          <w:rFonts w:ascii="仿宋_GB2312" w:eastAsia="仿宋_GB2312" w:hAnsi="Times New Roman"/>
          <w:sz w:val="24"/>
          <w:szCs w:val="24"/>
        </w:rPr>
        <w:t>非工程措施</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①</w:t>
      </w:r>
      <w:r>
        <w:rPr>
          <w:rFonts w:ascii="仿宋_GB2312" w:eastAsia="仿宋_GB2312" w:hAnsi="Times New Roman"/>
          <w:sz w:val="24"/>
          <w:szCs w:val="24"/>
        </w:rPr>
        <w:t xml:space="preserve"> 禁止侵占河道的行为，严禁往河道倾倒垃圾；</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②</w:t>
      </w:r>
      <w:r>
        <w:rPr>
          <w:rFonts w:ascii="仿宋_GB2312" w:eastAsia="仿宋_GB2312" w:hAnsi="Times New Roman"/>
          <w:sz w:val="24"/>
          <w:szCs w:val="24"/>
        </w:rPr>
        <w:t xml:space="preserve"> 落实水利建设资金，重视水利建设；</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③</w:t>
      </w:r>
      <w:r>
        <w:rPr>
          <w:rFonts w:ascii="仿宋_GB2312" w:eastAsia="仿宋_GB2312" w:hAnsi="Times New Roman"/>
          <w:sz w:val="24"/>
          <w:szCs w:val="24"/>
        </w:rPr>
        <w:t>加强宣传教育，提高全民防险意识。</w:t>
      </w:r>
    </w:p>
    <w:p w:rsidR="00EC47A7" w:rsidRDefault="00EC47A7" w:rsidP="00EC47A7">
      <w:pPr>
        <w:pStyle w:val="32205"/>
        <w:widowControl w:val="0"/>
        <w:numPr>
          <w:ilvl w:val="0"/>
          <w:numId w:val="3"/>
        </w:numPr>
        <w:tabs>
          <w:tab w:val="left" w:pos="0"/>
        </w:tabs>
        <w:spacing w:beforeLines="50" w:before="156" w:afterLines="0"/>
        <w:ind w:left="0" w:firstLine="422"/>
        <w:rPr>
          <w:rFonts w:ascii="仿宋_GB2312" w:eastAsia="仿宋_GB2312" w:cs="Times New Roman"/>
          <w:b/>
        </w:rPr>
      </w:pPr>
      <w:r>
        <w:rPr>
          <w:rFonts w:ascii="仿宋_GB2312" w:eastAsia="仿宋_GB2312" w:cs="Times New Roman" w:hint="eastAsia"/>
          <w:b/>
        </w:rPr>
        <w:t>消防规划</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规划区内严格执行“预防为主、防消结合”的消防工作方针和“以人为本、科学实用、技术先进、经济合理”原则，应从火灾预防、灭火救援等方面满足建设发展的安全需要。</w:t>
      </w:r>
    </w:p>
    <w:p w:rsidR="00EC47A7" w:rsidRDefault="00EC47A7" w:rsidP="00EC47A7">
      <w:pPr>
        <w:numPr>
          <w:ilvl w:val="0"/>
          <w:numId w:val="6"/>
        </w:num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消防供水</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消防供水必须采用环状供水，形成主、干环网，在供水规划中，应保证总用水量的 5％为消防用水。室外消防用水采用低压制消火栓形式，消防给水管径不小于 100毫米，消火栓沿规划道路、尽量靠近道路交叉路口布设，布置在主要道路上的消火栓间距不超过 120 米。</w:t>
      </w:r>
    </w:p>
    <w:p w:rsidR="00EC47A7" w:rsidRDefault="00EC47A7" w:rsidP="00EC47A7">
      <w:pPr>
        <w:numPr>
          <w:ilvl w:val="0"/>
          <w:numId w:val="6"/>
        </w:num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消防通道</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 xml:space="preserve">规划区内的道路设计，必须考虑消防方面的要求，当建筑物沿街部分长度超过 150 </w:t>
      </w:r>
      <w:proofErr w:type="gramStart"/>
      <w:r>
        <w:rPr>
          <w:rFonts w:ascii="仿宋_GB2312" w:eastAsia="仿宋_GB2312" w:hAnsi="Times New Roman" w:hint="eastAsia"/>
          <w:sz w:val="24"/>
          <w:szCs w:val="24"/>
        </w:rPr>
        <w:t>米或者</w:t>
      </w:r>
      <w:proofErr w:type="gramEnd"/>
      <w:r>
        <w:rPr>
          <w:rFonts w:ascii="仿宋_GB2312" w:eastAsia="仿宋_GB2312" w:hAnsi="Times New Roman" w:hint="eastAsia"/>
          <w:sz w:val="24"/>
          <w:szCs w:val="24"/>
        </w:rPr>
        <w:t>总长度超过 220 米时，应设穿过建筑物的消防车道；沿街建筑物应设连接街道和内院的通道，其间距不大33于 80 米（可结合楼梯间设置）；建筑物开设的消防车道、净高与净宽均应大于或等于 4 米；消防道路宽度应大于 4 米，净空高度不应小于 4 米；</w:t>
      </w:r>
      <w:proofErr w:type="gramStart"/>
      <w:r>
        <w:rPr>
          <w:rFonts w:ascii="仿宋_GB2312" w:eastAsia="仿宋_GB2312" w:hAnsi="Times New Roman" w:hint="eastAsia"/>
          <w:sz w:val="24"/>
          <w:szCs w:val="24"/>
        </w:rPr>
        <w:t>尽端式消防</w:t>
      </w:r>
      <w:proofErr w:type="gramEnd"/>
      <w:r>
        <w:rPr>
          <w:rFonts w:ascii="仿宋_GB2312" w:eastAsia="仿宋_GB2312" w:hAnsi="Times New Roman" w:hint="eastAsia"/>
          <w:sz w:val="24"/>
          <w:szCs w:val="24"/>
        </w:rPr>
        <w:t>道的回车场尺度应大于等于 18 米×18 米；高层建筑宜设</w:t>
      </w:r>
      <w:proofErr w:type="gramStart"/>
      <w:r>
        <w:rPr>
          <w:rFonts w:ascii="仿宋_GB2312" w:eastAsia="仿宋_GB2312" w:hAnsi="Times New Roman" w:hint="eastAsia"/>
          <w:sz w:val="24"/>
          <w:szCs w:val="24"/>
        </w:rPr>
        <w:t>环形消防</w:t>
      </w:r>
      <w:proofErr w:type="gramEnd"/>
      <w:r>
        <w:rPr>
          <w:rFonts w:ascii="仿宋_GB2312" w:eastAsia="仿宋_GB2312" w:hAnsi="Times New Roman" w:hint="eastAsia"/>
          <w:sz w:val="24"/>
          <w:szCs w:val="24"/>
        </w:rPr>
        <w:t>车道或沿两长边设消防车道。</w:t>
      </w:r>
    </w:p>
    <w:p w:rsidR="00EC47A7" w:rsidRDefault="00EC47A7" w:rsidP="00EC47A7">
      <w:pPr>
        <w:numPr>
          <w:ilvl w:val="0"/>
          <w:numId w:val="6"/>
        </w:num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消防安全布局</w:t>
      </w:r>
    </w:p>
    <w:p w:rsidR="00EC47A7" w:rsidRDefault="00EC47A7" w:rsidP="00EC47A7">
      <w:pPr>
        <w:spacing w:line="360" w:lineRule="auto"/>
        <w:ind w:firstLineChars="200" w:firstLine="480"/>
        <w:rPr>
          <w:rFonts w:ascii="仿宋_GB2312" w:eastAsia="仿宋_GB2312" w:hAnsi="Times New Roman"/>
          <w:sz w:val="24"/>
          <w:szCs w:val="24"/>
        </w:rPr>
      </w:pPr>
      <w:r>
        <w:rPr>
          <w:rFonts w:ascii="仿宋_GB2312" w:eastAsia="仿宋_GB2312" w:hAnsi="Times New Roman"/>
          <w:sz w:val="24"/>
          <w:szCs w:val="24"/>
        </w:rPr>
        <w:t>建筑防火间距应严格按《建筑设计防火规范》（GB 50016-2014）中的具体要求来执行；建筑物、建筑构筑物以一、二级耐火等级为主，控制三级建筑，禁止四级建筑，不准易燃简易搭盖；消防设施配备应与具体建设行为相同步，并同时验收；新建大楼必须按规定设置消防箱，完善室内场所、附属设施的自防、自救能力；高层建筑的周围，应设</w:t>
      </w:r>
      <w:proofErr w:type="gramStart"/>
      <w:r>
        <w:rPr>
          <w:rFonts w:ascii="仿宋_GB2312" w:eastAsia="仿宋_GB2312" w:hAnsi="Times New Roman"/>
          <w:sz w:val="24"/>
          <w:szCs w:val="24"/>
        </w:rPr>
        <w:t>环形消防</w:t>
      </w:r>
      <w:proofErr w:type="gramEnd"/>
      <w:r>
        <w:rPr>
          <w:rFonts w:ascii="仿宋_GB2312" w:eastAsia="仿宋_GB2312" w:hAnsi="Times New Roman"/>
          <w:sz w:val="24"/>
          <w:szCs w:val="24"/>
        </w:rPr>
        <w:t>车道。当设环形车道有困难时，可沿高层建筑的两个长边设置消防车道，当建筑的沿街长度超过 150 米或总长度超过 220 米时，应在适中位置设置穿过建筑的消防车道。</w:t>
      </w:r>
    </w:p>
    <w:p w:rsidR="00EC47A7" w:rsidRDefault="00EC47A7" w:rsidP="00EC47A7">
      <w:r>
        <w:br w:type="page"/>
      </w:r>
    </w:p>
    <w:p w:rsidR="00EC47A7" w:rsidRDefault="00EC47A7" w:rsidP="00EC47A7">
      <w:pPr>
        <w:pStyle w:val="1"/>
        <w:spacing w:before="120" w:after="480" w:line="360" w:lineRule="auto"/>
        <w:jc w:val="center"/>
        <w:rPr>
          <w:rFonts w:ascii="仿宋_GB2312" w:eastAsia="仿宋_GB2312" w:hAnsi="Times New Roman"/>
          <w:sz w:val="32"/>
          <w:szCs w:val="32"/>
        </w:rPr>
      </w:pPr>
      <w:bookmarkStart w:id="10" w:name="_Toc107565796"/>
      <w:r>
        <w:rPr>
          <w:rFonts w:ascii="仿宋_GB2312" w:eastAsia="仿宋_GB2312" w:hAnsi="Times New Roman" w:hint="eastAsia"/>
          <w:sz w:val="32"/>
          <w:szCs w:val="32"/>
        </w:rPr>
        <w:lastRenderedPageBreak/>
        <w:t>第</w:t>
      </w:r>
      <w:r>
        <w:rPr>
          <w:rFonts w:ascii="仿宋_GB2312" w:eastAsia="仿宋_GB2312" w:hAnsi="Times New Roman" w:hint="eastAsia"/>
          <w:sz w:val="32"/>
          <w:szCs w:val="32"/>
          <w:lang w:val="en-US"/>
        </w:rPr>
        <w:t>七</w:t>
      </w:r>
      <w:r>
        <w:rPr>
          <w:rFonts w:ascii="仿宋_GB2312" w:eastAsia="仿宋_GB2312" w:hAnsi="Times New Roman" w:hint="eastAsia"/>
          <w:sz w:val="32"/>
          <w:szCs w:val="32"/>
        </w:rPr>
        <w:t>章 环境保护规划</w:t>
      </w:r>
      <w:bookmarkEnd w:id="10"/>
    </w:p>
    <w:p w:rsidR="00EC47A7" w:rsidRDefault="00EC47A7" w:rsidP="00EC47A7">
      <w:pPr>
        <w:pStyle w:val="32205"/>
        <w:widowControl w:val="0"/>
        <w:numPr>
          <w:ilvl w:val="0"/>
          <w:numId w:val="3"/>
        </w:numPr>
        <w:tabs>
          <w:tab w:val="left" w:pos="0"/>
        </w:tabs>
        <w:spacing w:beforeLines="50" w:before="156" w:afterLines="0"/>
        <w:ind w:left="0" w:firstLine="422"/>
        <w:rPr>
          <w:rFonts w:ascii="仿宋_GB2312" w:eastAsia="仿宋_GB2312" w:cs="Times New Roman"/>
          <w:b/>
        </w:rPr>
      </w:pPr>
      <w:r>
        <w:rPr>
          <w:rFonts w:ascii="仿宋_GB2312" w:eastAsia="仿宋_GB2312" w:cs="Times New Roman" w:hint="eastAsia"/>
          <w:b/>
        </w:rPr>
        <w:t>规划原则</w:t>
      </w:r>
    </w:p>
    <w:p w:rsidR="00EC47A7" w:rsidRDefault="00EC47A7" w:rsidP="00EC47A7">
      <w:pPr>
        <w:spacing w:line="360" w:lineRule="auto"/>
        <w:ind w:firstLineChars="200" w:firstLine="480"/>
        <w:rPr>
          <w:rFonts w:ascii="仿宋_GB2312" w:eastAsia="仿宋_GB2312" w:hAnsiTheme="minorEastAsia"/>
          <w:sz w:val="24"/>
        </w:rPr>
      </w:pPr>
      <w:r>
        <w:rPr>
          <w:rFonts w:ascii="仿宋_GB2312" w:eastAsia="仿宋_GB2312" w:hAnsiTheme="minorEastAsia" w:hint="eastAsia"/>
          <w:sz w:val="24"/>
        </w:rPr>
        <w:t>坚持社会经济发展和生态环境保护并重原则，坚持生态系统整体优化原则，坚持分区控制，分类指导原则，坚持统筹兼顾、实事求是、因地制宜原则，坚持环境容量、生态承载力有限原则。</w:t>
      </w:r>
    </w:p>
    <w:p w:rsidR="00EC47A7" w:rsidRDefault="00EC47A7" w:rsidP="00EC47A7">
      <w:pPr>
        <w:pStyle w:val="32205"/>
        <w:widowControl w:val="0"/>
        <w:numPr>
          <w:ilvl w:val="0"/>
          <w:numId w:val="3"/>
        </w:numPr>
        <w:tabs>
          <w:tab w:val="left" w:pos="0"/>
        </w:tabs>
        <w:spacing w:beforeLines="50" w:before="156" w:afterLines="0"/>
        <w:ind w:left="0" w:firstLine="422"/>
        <w:rPr>
          <w:rFonts w:ascii="仿宋_GB2312" w:eastAsia="仿宋_GB2312" w:cs="Times New Roman"/>
          <w:b/>
        </w:rPr>
      </w:pPr>
      <w:r>
        <w:rPr>
          <w:rFonts w:ascii="仿宋_GB2312" w:eastAsia="仿宋_GB2312" w:cs="Times New Roman" w:hint="eastAsia"/>
          <w:b/>
        </w:rPr>
        <w:t>大气保护规划</w:t>
      </w:r>
    </w:p>
    <w:p w:rsidR="00EC47A7" w:rsidRDefault="00EC47A7" w:rsidP="00EC47A7">
      <w:pPr>
        <w:spacing w:line="360" w:lineRule="auto"/>
        <w:ind w:firstLineChars="200" w:firstLine="480"/>
        <w:rPr>
          <w:rFonts w:ascii="仿宋_GB2312" w:eastAsia="仿宋_GB2312" w:hAnsiTheme="minorEastAsia"/>
          <w:sz w:val="24"/>
        </w:rPr>
      </w:pPr>
      <w:r>
        <w:rPr>
          <w:rFonts w:ascii="仿宋_GB2312" w:eastAsia="仿宋_GB2312" w:hAnsiTheme="minorEastAsia" w:hint="eastAsia"/>
          <w:sz w:val="24"/>
        </w:rPr>
        <w:t>规划区范围内整体为环境空气功能区二类区，按照环境空气功能区二类区进行管理。</w:t>
      </w:r>
    </w:p>
    <w:p w:rsidR="00EC47A7" w:rsidRDefault="00EC47A7" w:rsidP="00EC47A7">
      <w:pPr>
        <w:pStyle w:val="32205"/>
        <w:widowControl w:val="0"/>
        <w:numPr>
          <w:ilvl w:val="0"/>
          <w:numId w:val="3"/>
        </w:numPr>
        <w:tabs>
          <w:tab w:val="left" w:pos="0"/>
        </w:tabs>
        <w:spacing w:beforeLines="50" w:before="156" w:afterLines="0"/>
        <w:ind w:left="0" w:firstLine="422"/>
        <w:rPr>
          <w:rFonts w:ascii="仿宋_GB2312" w:eastAsia="仿宋_GB2312" w:cs="Times New Roman"/>
          <w:b/>
        </w:rPr>
      </w:pPr>
      <w:r>
        <w:rPr>
          <w:rFonts w:ascii="仿宋_GB2312" w:eastAsia="仿宋_GB2312" w:cs="Times New Roman" w:hint="eastAsia"/>
          <w:b/>
        </w:rPr>
        <w:t>水体环境保护规划</w:t>
      </w:r>
    </w:p>
    <w:p w:rsidR="00EC47A7" w:rsidRDefault="00EC47A7" w:rsidP="00EC47A7">
      <w:pPr>
        <w:spacing w:line="360" w:lineRule="auto"/>
        <w:ind w:firstLineChars="200" w:firstLine="480"/>
        <w:rPr>
          <w:rFonts w:ascii="仿宋_GB2312" w:eastAsia="仿宋_GB2312" w:hAnsiTheme="minorEastAsia"/>
          <w:sz w:val="24"/>
        </w:rPr>
      </w:pPr>
      <w:r>
        <w:rPr>
          <w:rFonts w:ascii="仿宋_GB2312" w:eastAsia="仿宋_GB2312" w:hAnsiTheme="minorEastAsia" w:hint="eastAsia"/>
          <w:sz w:val="24"/>
        </w:rPr>
        <w:t>规划区内的河流按照《地表水环境质量标准》（GB3838-2002）的地表水Ⅱ类功能区控制。</w:t>
      </w:r>
    </w:p>
    <w:p w:rsidR="00EC47A7" w:rsidRDefault="00EC47A7" w:rsidP="00EC47A7">
      <w:pPr>
        <w:pStyle w:val="32205"/>
        <w:widowControl w:val="0"/>
        <w:numPr>
          <w:ilvl w:val="0"/>
          <w:numId w:val="3"/>
        </w:numPr>
        <w:tabs>
          <w:tab w:val="left" w:pos="0"/>
        </w:tabs>
        <w:spacing w:beforeLines="50" w:before="156" w:afterLines="0"/>
        <w:ind w:left="0" w:firstLine="422"/>
        <w:rPr>
          <w:rFonts w:ascii="仿宋_GB2312" w:eastAsia="仿宋_GB2312" w:cs="Times New Roman"/>
          <w:b/>
        </w:rPr>
      </w:pPr>
      <w:r>
        <w:rPr>
          <w:rFonts w:ascii="仿宋_GB2312" w:eastAsia="仿宋_GB2312" w:cs="Times New Roman" w:hint="eastAsia"/>
          <w:b/>
        </w:rPr>
        <w:t>声环境控制规划</w:t>
      </w:r>
    </w:p>
    <w:p w:rsidR="00EC47A7" w:rsidRDefault="00EC47A7" w:rsidP="00EC47A7">
      <w:pPr>
        <w:spacing w:line="360" w:lineRule="auto"/>
        <w:ind w:firstLineChars="200" w:firstLine="480"/>
        <w:rPr>
          <w:rFonts w:ascii="仿宋_GB2312" w:eastAsia="仿宋_GB2312" w:hAnsiTheme="minorEastAsia"/>
          <w:sz w:val="24"/>
        </w:rPr>
      </w:pPr>
      <w:r>
        <w:rPr>
          <w:rFonts w:ascii="仿宋_GB2312" w:eastAsia="仿宋_GB2312" w:hAnsiTheme="minorEastAsia" w:hint="eastAsia"/>
          <w:sz w:val="24"/>
        </w:rPr>
        <w:t>根据《声环境质量标准》（GB3096-2008），结合土地利用规划，划分以下两类声环境功能区域：</w:t>
      </w:r>
    </w:p>
    <w:p w:rsidR="00EC47A7" w:rsidRDefault="00EC47A7" w:rsidP="00EC47A7">
      <w:pPr>
        <w:spacing w:line="360" w:lineRule="auto"/>
        <w:ind w:firstLineChars="200" w:firstLine="480"/>
        <w:jc w:val="center"/>
        <w:rPr>
          <w:rFonts w:ascii="仿宋_GB2312" w:eastAsia="仿宋_GB2312" w:hAnsiTheme="minorEastAsia"/>
          <w:sz w:val="24"/>
        </w:rPr>
      </w:pPr>
      <w:r>
        <w:rPr>
          <w:rFonts w:ascii="仿宋_GB2312" w:eastAsia="仿宋_GB2312" w:hAnsiTheme="minorEastAsia" w:hint="eastAsia"/>
          <w:sz w:val="24"/>
        </w:rPr>
        <w:t>表7-1：声环境功能区划</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244"/>
        <w:gridCol w:w="2102"/>
      </w:tblGrid>
      <w:tr w:rsidR="00EC47A7" w:rsidTr="00F864E4">
        <w:tc>
          <w:tcPr>
            <w:tcW w:w="1418" w:type="dxa"/>
          </w:tcPr>
          <w:p w:rsidR="00EC47A7" w:rsidRDefault="00EC47A7" w:rsidP="00F864E4">
            <w:pPr>
              <w:spacing w:line="300" w:lineRule="auto"/>
              <w:jc w:val="center"/>
              <w:rPr>
                <w:rFonts w:ascii="仿宋_GB2312" w:eastAsia="仿宋_GB2312"/>
                <w:b/>
                <w:bCs/>
                <w:szCs w:val="21"/>
              </w:rPr>
            </w:pPr>
            <w:r>
              <w:rPr>
                <w:rFonts w:ascii="仿宋_GB2312" w:eastAsia="仿宋_GB2312" w:hAnsi="宋体" w:hint="eastAsia"/>
                <w:b/>
                <w:bCs/>
                <w:szCs w:val="21"/>
              </w:rPr>
              <w:t>类别</w:t>
            </w:r>
          </w:p>
        </w:tc>
        <w:tc>
          <w:tcPr>
            <w:tcW w:w="5244" w:type="dxa"/>
          </w:tcPr>
          <w:p w:rsidR="00EC47A7" w:rsidRDefault="00EC47A7" w:rsidP="00F864E4">
            <w:pPr>
              <w:spacing w:line="300" w:lineRule="auto"/>
              <w:jc w:val="center"/>
              <w:rPr>
                <w:rFonts w:ascii="仿宋_GB2312" w:eastAsia="仿宋_GB2312"/>
                <w:b/>
                <w:bCs/>
                <w:szCs w:val="21"/>
              </w:rPr>
            </w:pPr>
            <w:r>
              <w:rPr>
                <w:rFonts w:ascii="仿宋_GB2312" w:eastAsia="仿宋_GB2312" w:hAnsi="宋体" w:hint="eastAsia"/>
                <w:b/>
                <w:bCs/>
                <w:szCs w:val="21"/>
              </w:rPr>
              <w:t>适用区域</w:t>
            </w:r>
          </w:p>
        </w:tc>
        <w:tc>
          <w:tcPr>
            <w:tcW w:w="2102" w:type="dxa"/>
          </w:tcPr>
          <w:p w:rsidR="00EC47A7" w:rsidRDefault="00EC47A7" w:rsidP="00F864E4">
            <w:pPr>
              <w:spacing w:line="300" w:lineRule="auto"/>
              <w:jc w:val="center"/>
              <w:rPr>
                <w:rFonts w:ascii="仿宋_GB2312" w:eastAsia="仿宋_GB2312"/>
                <w:b/>
                <w:bCs/>
                <w:szCs w:val="21"/>
              </w:rPr>
            </w:pPr>
            <w:r>
              <w:rPr>
                <w:rFonts w:ascii="仿宋_GB2312" w:eastAsia="仿宋_GB2312" w:hAnsi="宋体" w:hint="eastAsia"/>
                <w:b/>
                <w:bCs/>
                <w:szCs w:val="21"/>
              </w:rPr>
              <w:t>噪声标准值（</w:t>
            </w:r>
            <w:r>
              <w:rPr>
                <w:rFonts w:ascii="仿宋_GB2312" w:eastAsia="仿宋_GB2312" w:hint="eastAsia"/>
                <w:b/>
                <w:bCs/>
                <w:szCs w:val="21"/>
              </w:rPr>
              <w:t>dB</w:t>
            </w:r>
            <w:r>
              <w:rPr>
                <w:rFonts w:ascii="仿宋_GB2312" w:eastAsia="仿宋_GB2312" w:hAnsi="宋体" w:hint="eastAsia"/>
                <w:b/>
                <w:bCs/>
                <w:szCs w:val="21"/>
              </w:rPr>
              <w:t>）</w:t>
            </w:r>
          </w:p>
        </w:tc>
      </w:tr>
      <w:tr w:rsidR="00EC47A7" w:rsidTr="00F864E4">
        <w:tc>
          <w:tcPr>
            <w:tcW w:w="1418" w:type="dxa"/>
            <w:vAlign w:val="center"/>
          </w:tcPr>
          <w:p w:rsidR="00EC47A7" w:rsidRDefault="00EC47A7" w:rsidP="00F864E4">
            <w:pPr>
              <w:spacing w:line="300" w:lineRule="auto"/>
              <w:jc w:val="center"/>
              <w:rPr>
                <w:rFonts w:ascii="仿宋_GB2312" w:eastAsia="仿宋_GB2312"/>
                <w:bCs/>
                <w:szCs w:val="21"/>
              </w:rPr>
            </w:pPr>
            <w:r>
              <w:rPr>
                <w:rFonts w:ascii="仿宋_GB2312" w:eastAsia="仿宋_GB2312" w:hint="eastAsia"/>
                <w:bCs/>
                <w:szCs w:val="21"/>
              </w:rPr>
              <w:t>3</w:t>
            </w:r>
            <w:r>
              <w:rPr>
                <w:rFonts w:ascii="仿宋_GB2312" w:eastAsia="仿宋_GB2312" w:hAnsi="宋体" w:hint="eastAsia"/>
                <w:bCs/>
                <w:szCs w:val="21"/>
              </w:rPr>
              <w:t>类声环境功能区</w:t>
            </w:r>
          </w:p>
        </w:tc>
        <w:tc>
          <w:tcPr>
            <w:tcW w:w="5244" w:type="dxa"/>
            <w:vAlign w:val="center"/>
          </w:tcPr>
          <w:p w:rsidR="00EC47A7" w:rsidRDefault="00EC47A7" w:rsidP="00F864E4">
            <w:pPr>
              <w:spacing w:line="300" w:lineRule="auto"/>
              <w:jc w:val="center"/>
              <w:rPr>
                <w:rFonts w:ascii="仿宋_GB2312" w:eastAsia="仿宋_GB2312"/>
                <w:szCs w:val="21"/>
              </w:rPr>
            </w:pPr>
            <w:r>
              <w:rPr>
                <w:rFonts w:ascii="仿宋_GB2312" w:eastAsia="仿宋_GB2312" w:hAnsi="宋体" w:hint="eastAsia"/>
                <w:szCs w:val="21"/>
              </w:rPr>
              <w:t>指以工业生产、仓储物流为主要功能，需要防止工业噪声对周围环境产生严重影响的区域。</w:t>
            </w:r>
          </w:p>
        </w:tc>
        <w:tc>
          <w:tcPr>
            <w:tcW w:w="2102" w:type="dxa"/>
            <w:vAlign w:val="center"/>
          </w:tcPr>
          <w:p w:rsidR="00EC47A7" w:rsidRDefault="00EC47A7" w:rsidP="00F864E4">
            <w:pPr>
              <w:spacing w:line="300" w:lineRule="auto"/>
              <w:jc w:val="center"/>
              <w:rPr>
                <w:rFonts w:ascii="仿宋_GB2312" w:eastAsia="仿宋_GB2312"/>
                <w:bCs/>
                <w:szCs w:val="21"/>
              </w:rPr>
            </w:pPr>
            <w:r>
              <w:rPr>
                <w:rFonts w:ascii="仿宋_GB2312" w:eastAsia="仿宋_GB2312" w:hint="eastAsia"/>
                <w:bCs/>
                <w:szCs w:val="21"/>
              </w:rPr>
              <w:t>65/55</w:t>
            </w:r>
          </w:p>
        </w:tc>
      </w:tr>
    </w:tbl>
    <w:p w:rsidR="00EC47A7" w:rsidRDefault="00EC47A7" w:rsidP="00EC47A7"/>
    <w:p w:rsidR="00A35CE3" w:rsidRDefault="00A35CE3"/>
    <w:sectPr w:rsidR="00A35CE3">
      <w:footerReference w:type="default" r:id="rId9"/>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372" w:rsidRDefault="005F0372" w:rsidP="00EC47A7">
      <w:r>
        <w:separator/>
      </w:r>
    </w:p>
  </w:endnote>
  <w:endnote w:type="continuationSeparator" w:id="0">
    <w:p w:rsidR="005F0372" w:rsidRDefault="005F0372" w:rsidP="00EC4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815900"/>
    </w:sdtPr>
    <w:sdtEndPr/>
    <w:sdtContent>
      <w:p w:rsidR="00EC47A7" w:rsidRDefault="00EC47A7">
        <w:pPr>
          <w:pStyle w:val="a4"/>
          <w:jc w:val="center"/>
        </w:pPr>
        <w:r>
          <w:fldChar w:fldCharType="begin"/>
        </w:r>
        <w:r>
          <w:instrText>PAGE   \* MERGEFORMAT</w:instrText>
        </w:r>
        <w:r>
          <w:fldChar w:fldCharType="separate"/>
        </w:r>
        <w:r w:rsidR="00CE1A15" w:rsidRPr="00CE1A15">
          <w:rPr>
            <w:noProof/>
            <w:lang w:val="zh-CN"/>
          </w:rPr>
          <w:t>I</w:t>
        </w:r>
        <w:r>
          <w:fldChar w:fldCharType="end"/>
        </w:r>
      </w:p>
    </w:sdtContent>
  </w:sdt>
  <w:p w:rsidR="00EC47A7" w:rsidRDefault="00EC47A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3101588"/>
    </w:sdtPr>
    <w:sdtEndPr/>
    <w:sdtContent>
      <w:p w:rsidR="006A4F6F" w:rsidRDefault="00A6209A">
        <w:pPr>
          <w:pStyle w:val="a4"/>
          <w:jc w:val="center"/>
        </w:pPr>
        <w:r>
          <w:fldChar w:fldCharType="begin"/>
        </w:r>
        <w:r>
          <w:instrText>PAGE   \* MERGEFORMAT</w:instrText>
        </w:r>
        <w:r>
          <w:fldChar w:fldCharType="separate"/>
        </w:r>
        <w:r w:rsidR="00A36405" w:rsidRPr="00A36405">
          <w:rPr>
            <w:noProof/>
            <w:lang w:val="zh-CN"/>
          </w:rPr>
          <w:t>4</w:t>
        </w:r>
        <w:r>
          <w:fldChar w:fldCharType="end"/>
        </w:r>
      </w:p>
    </w:sdtContent>
  </w:sdt>
  <w:p w:rsidR="006A4F6F" w:rsidRDefault="005F03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372" w:rsidRDefault="005F0372" w:rsidP="00EC47A7">
      <w:r>
        <w:separator/>
      </w:r>
    </w:p>
  </w:footnote>
  <w:footnote w:type="continuationSeparator" w:id="0">
    <w:p w:rsidR="005F0372" w:rsidRDefault="005F0372" w:rsidP="00EC47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A7" w:rsidRDefault="00620CE1">
    <w:pPr>
      <w:pStyle w:val="a3"/>
      <w:jc w:val="left"/>
    </w:pPr>
    <w:r w:rsidRPr="00620CE1">
      <w:rPr>
        <w:rFonts w:hint="eastAsia"/>
      </w:rPr>
      <w:t>潮州</w:t>
    </w:r>
    <w:proofErr w:type="gramStart"/>
    <w:r w:rsidRPr="00620CE1">
      <w:rPr>
        <w:rFonts w:hint="eastAsia"/>
      </w:rPr>
      <w:t>市登塘</w:t>
    </w:r>
    <w:proofErr w:type="gramEnd"/>
    <w:r w:rsidRPr="00620CE1">
      <w:rPr>
        <w:rFonts w:hint="eastAsia"/>
      </w:rPr>
      <w:t>镇“三旧”改造</w:t>
    </w:r>
    <w:r w:rsidRPr="00620CE1">
      <w:rPr>
        <w:rFonts w:hint="eastAsia"/>
      </w:rPr>
      <w:t>DT040</w:t>
    </w:r>
    <w:r w:rsidRPr="00620CE1">
      <w:rPr>
        <w:rFonts w:hint="eastAsia"/>
      </w:rPr>
      <w:t>地块控制性详细规划</w:t>
    </w:r>
    <w:r w:rsidR="00EC47A7">
      <w:t xml:space="preserve">          </w:t>
    </w:r>
    <w:r w:rsidR="00EC47A7">
      <w:tab/>
    </w:r>
    <w:r w:rsidR="00EC47A7">
      <w:rPr>
        <w:rFonts w:hint="eastAsia"/>
      </w:rPr>
      <w:t>法定文件（公示稿）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CE5002"/>
    <w:multiLevelType w:val="singleLevel"/>
    <w:tmpl w:val="93CE5002"/>
    <w:lvl w:ilvl="0">
      <w:start w:val="1"/>
      <w:numFmt w:val="decimal"/>
      <w:suff w:val="nothing"/>
      <w:lvlText w:val="（%1）"/>
      <w:lvlJc w:val="left"/>
    </w:lvl>
  </w:abstractNum>
  <w:abstractNum w:abstractNumId="1">
    <w:nsid w:val="03CF599F"/>
    <w:multiLevelType w:val="multilevel"/>
    <w:tmpl w:val="03CF599F"/>
    <w:lvl w:ilvl="0">
      <w:start w:val="1"/>
      <w:numFmt w:val="chineseCountingThousand"/>
      <w:lvlText w:val="第%1条"/>
      <w:lvlJc w:val="left"/>
      <w:pPr>
        <w:ind w:left="846"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6201C54"/>
    <w:multiLevelType w:val="hybridMultilevel"/>
    <w:tmpl w:val="072C74E6"/>
    <w:lvl w:ilvl="0" w:tplc="AA6A4F34">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9E185D"/>
    <w:multiLevelType w:val="multilevel"/>
    <w:tmpl w:val="C8F2A7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5C5C3B3"/>
    <w:multiLevelType w:val="singleLevel"/>
    <w:tmpl w:val="45C5C3B3"/>
    <w:lvl w:ilvl="0">
      <w:start w:val="2"/>
      <w:numFmt w:val="decimal"/>
      <w:suff w:val="nothing"/>
      <w:lvlText w:val="（%1）"/>
      <w:lvlJc w:val="left"/>
    </w:lvl>
  </w:abstractNum>
  <w:abstractNum w:abstractNumId="5">
    <w:nsid w:val="593CAEA8"/>
    <w:multiLevelType w:val="singleLevel"/>
    <w:tmpl w:val="593CAEA8"/>
    <w:lvl w:ilvl="0">
      <w:start w:val="4"/>
      <w:numFmt w:val="chineseCounting"/>
      <w:suff w:val="space"/>
      <w:lvlText w:val="第%1节"/>
      <w:lvlJc w:val="left"/>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249"/>
    <w:rsid w:val="00040AB5"/>
    <w:rsid w:val="000F6418"/>
    <w:rsid w:val="001010B4"/>
    <w:rsid w:val="001713A2"/>
    <w:rsid w:val="001B3B7F"/>
    <w:rsid w:val="002A5AEE"/>
    <w:rsid w:val="002C4463"/>
    <w:rsid w:val="00302BCD"/>
    <w:rsid w:val="00327683"/>
    <w:rsid w:val="00372738"/>
    <w:rsid w:val="003C5ABD"/>
    <w:rsid w:val="00433046"/>
    <w:rsid w:val="00444D71"/>
    <w:rsid w:val="004D2930"/>
    <w:rsid w:val="004D49CD"/>
    <w:rsid w:val="004F623D"/>
    <w:rsid w:val="00530684"/>
    <w:rsid w:val="005B2B80"/>
    <w:rsid w:val="005F0372"/>
    <w:rsid w:val="00620CE1"/>
    <w:rsid w:val="006C5BC1"/>
    <w:rsid w:val="006F5DA0"/>
    <w:rsid w:val="0077023E"/>
    <w:rsid w:val="00797917"/>
    <w:rsid w:val="007A7C53"/>
    <w:rsid w:val="007F7D90"/>
    <w:rsid w:val="00813588"/>
    <w:rsid w:val="0089051C"/>
    <w:rsid w:val="00903E5B"/>
    <w:rsid w:val="0094703B"/>
    <w:rsid w:val="00957CD7"/>
    <w:rsid w:val="009A4249"/>
    <w:rsid w:val="009F5421"/>
    <w:rsid w:val="00A35CE3"/>
    <w:rsid w:val="00A36405"/>
    <w:rsid w:val="00A6209A"/>
    <w:rsid w:val="00A74065"/>
    <w:rsid w:val="00B73791"/>
    <w:rsid w:val="00B8206E"/>
    <w:rsid w:val="00B9505C"/>
    <w:rsid w:val="00BB0869"/>
    <w:rsid w:val="00BC06E4"/>
    <w:rsid w:val="00BE150E"/>
    <w:rsid w:val="00C475D0"/>
    <w:rsid w:val="00C8376C"/>
    <w:rsid w:val="00CE1A15"/>
    <w:rsid w:val="00D45521"/>
    <w:rsid w:val="00DC1ABE"/>
    <w:rsid w:val="00E36B2B"/>
    <w:rsid w:val="00EC47A7"/>
    <w:rsid w:val="00F91A8C"/>
    <w:rsid w:val="00FC7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9F62C6-2E2A-4A61-8B87-4728D57F1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7A7"/>
    <w:pPr>
      <w:widowControl w:val="0"/>
      <w:jc w:val="both"/>
    </w:pPr>
  </w:style>
  <w:style w:type="paragraph" w:styleId="1">
    <w:name w:val="heading 1"/>
    <w:basedOn w:val="a"/>
    <w:next w:val="a"/>
    <w:link w:val="1Char"/>
    <w:uiPriority w:val="9"/>
    <w:qFormat/>
    <w:rsid w:val="00EC47A7"/>
    <w:pPr>
      <w:keepNext/>
      <w:keepLines/>
      <w:spacing w:before="340" w:after="330" w:line="578" w:lineRule="auto"/>
      <w:outlineLvl w:val="0"/>
    </w:pPr>
    <w:rPr>
      <w:rFonts w:ascii="Calibri" w:eastAsia="宋体" w:hAnsi="Calibri" w:cs="Times New Roman"/>
      <w:b/>
      <w:bCs/>
      <w:kern w:val="44"/>
      <w:sz w:val="44"/>
      <w:szCs w:val="44"/>
      <w:lang w:val="zh-CN"/>
    </w:rPr>
  </w:style>
  <w:style w:type="paragraph" w:styleId="2">
    <w:name w:val="heading 2"/>
    <w:basedOn w:val="a"/>
    <w:next w:val="a"/>
    <w:link w:val="2Char"/>
    <w:uiPriority w:val="9"/>
    <w:unhideWhenUsed/>
    <w:qFormat/>
    <w:rsid w:val="001713A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标题2"/>
    <w:basedOn w:val="2"/>
    <w:link w:val="2Char0"/>
    <w:autoRedefine/>
    <w:qFormat/>
    <w:rsid w:val="00040AB5"/>
    <w:pPr>
      <w:keepNext w:val="0"/>
      <w:keepLines w:val="0"/>
      <w:spacing w:before="0" w:after="0" w:line="240" w:lineRule="atLeast"/>
      <w:ind w:firstLineChars="200" w:firstLine="200"/>
    </w:pPr>
    <w:rPr>
      <w:rFonts w:ascii="黑体" w:eastAsia="黑体" w:hAnsi="黑体" w:cs="宋体"/>
      <w:sz w:val="28"/>
    </w:rPr>
  </w:style>
  <w:style w:type="character" w:customStyle="1" w:styleId="2Char0">
    <w:name w:val="标题2 Char"/>
    <w:basedOn w:val="a0"/>
    <w:link w:val="20"/>
    <w:rsid w:val="00040AB5"/>
    <w:rPr>
      <w:rFonts w:ascii="黑体" w:eastAsia="黑体" w:hAnsi="黑体" w:cs="宋体"/>
      <w:b/>
      <w:bCs/>
      <w:sz w:val="28"/>
      <w:szCs w:val="32"/>
    </w:rPr>
  </w:style>
  <w:style w:type="character" w:customStyle="1" w:styleId="2Char">
    <w:name w:val="标题 2 Char"/>
    <w:basedOn w:val="a0"/>
    <w:link w:val="2"/>
    <w:uiPriority w:val="9"/>
    <w:qFormat/>
    <w:rsid w:val="001713A2"/>
    <w:rPr>
      <w:rFonts w:asciiTheme="majorHAnsi" w:eastAsiaTheme="majorEastAsia" w:hAnsiTheme="majorHAnsi" w:cstheme="majorBidi"/>
      <w:b/>
      <w:bCs/>
      <w:sz w:val="32"/>
      <w:szCs w:val="32"/>
    </w:rPr>
  </w:style>
  <w:style w:type="paragraph" w:styleId="a3">
    <w:name w:val="header"/>
    <w:basedOn w:val="a"/>
    <w:link w:val="Char"/>
    <w:unhideWhenUsed/>
    <w:qFormat/>
    <w:rsid w:val="00EC4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EC47A7"/>
    <w:rPr>
      <w:sz w:val="18"/>
      <w:szCs w:val="18"/>
    </w:rPr>
  </w:style>
  <w:style w:type="paragraph" w:styleId="a4">
    <w:name w:val="footer"/>
    <w:basedOn w:val="a"/>
    <w:link w:val="Char0"/>
    <w:uiPriority w:val="99"/>
    <w:unhideWhenUsed/>
    <w:qFormat/>
    <w:rsid w:val="00EC47A7"/>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C47A7"/>
    <w:rPr>
      <w:sz w:val="18"/>
      <w:szCs w:val="18"/>
    </w:rPr>
  </w:style>
  <w:style w:type="character" w:customStyle="1" w:styleId="1Char">
    <w:name w:val="标题 1 Char"/>
    <w:basedOn w:val="a0"/>
    <w:link w:val="1"/>
    <w:uiPriority w:val="9"/>
    <w:qFormat/>
    <w:rsid w:val="00EC47A7"/>
    <w:rPr>
      <w:rFonts w:ascii="Calibri" w:eastAsia="宋体" w:hAnsi="Calibri" w:cs="Times New Roman"/>
      <w:b/>
      <w:bCs/>
      <w:kern w:val="44"/>
      <w:sz w:val="44"/>
      <w:szCs w:val="44"/>
      <w:lang w:val="zh-CN"/>
    </w:rPr>
  </w:style>
  <w:style w:type="paragraph" w:styleId="10">
    <w:name w:val="toc 1"/>
    <w:basedOn w:val="a"/>
    <w:next w:val="a"/>
    <w:uiPriority w:val="39"/>
    <w:unhideWhenUsed/>
    <w:qFormat/>
    <w:rsid w:val="00EC47A7"/>
    <w:pPr>
      <w:tabs>
        <w:tab w:val="right" w:leader="dot" w:pos="8296"/>
      </w:tabs>
      <w:spacing w:line="360" w:lineRule="auto"/>
      <w:jc w:val="center"/>
    </w:pPr>
    <w:rPr>
      <w:rFonts w:ascii="仿宋_GB2312" w:eastAsia="仿宋_GB2312"/>
      <w:sz w:val="28"/>
    </w:rPr>
  </w:style>
  <w:style w:type="paragraph" w:customStyle="1" w:styleId="32205">
    <w:name w:val="样式 样式 标题 3 + 首行缩进:  2 字符 + 首行缩进:  2 字符 段后: 0.5 行"/>
    <w:basedOn w:val="a"/>
    <w:qFormat/>
    <w:rsid w:val="00EC47A7"/>
    <w:pPr>
      <w:keepLines/>
      <w:widowControl/>
      <w:spacing w:before="60" w:afterLines="30" w:line="360" w:lineRule="auto"/>
      <w:outlineLvl w:val="2"/>
    </w:pPr>
    <w:rPr>
      <w:rFonts w:ascii="Times New Roman" w:eastAsia="华文仿宋" w:hAnsi="Times New Roman" w:cs="宋体"/>
      <w:sz w:val="24"/>
      <w:szCs w:val="24"/>
    </w:rPr>
  </w:style>
  <w:style w:type="character" w:styleId="a5">
    <w:name w:val="Hyperlink"/>
    <w:basedOn w:val="a0"/>
    <w:uiPriority w:val="99"/>
    <w:unhideWhenUsed/>
    <w:rsid w:val="00957C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14</Pages>
  <Words>993</Words>
  <Characters>5664</Characters>
  <Application>Microsoft Office Word</Application>
  <DocSecurity>0</DocSecurity>
  <Lines>47</Lines>
  <Paragraphs>13</Paragraphs>
  <ScaleCrop>false</ScaleCrop>
  <Company>神州网信技术有限公司</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2022-06-28T06:27:00Z</dcterms:created>
  <dcterms:modified xsi:type="dcterms:W3CDTF">2022-07-16T10:41:00Z</dcterms:modified>
</cp:coreProperties>
</file>