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b/>
        </w:rPr>
      </w:pPr>
      <w:bookmarkStart w:id="0" w:name="_Toc387829825"/>
      <w:r>
        <w:rPr>
          <w:rFonts w:hint="eastAsia"/>
          <w:b/>
        </w:rPr>
        <w:t>目  录</w:t>
      </w:r>
    </w:p>
    <w:p>
      <w:pPr>
        <w:pStyle w:val="7"/>
        <w:tabs>
          <w:tab w:val="right" w:leader="dot" w:pos="8312"/>
          <w:tab w:val="clear" w:pos="8296"/>
        </w:tabs>
      </w:pPr>
      <w:r>
        <w:rPr>
          <w:rFonts w:hint="eastAsia" w:hAnsi="Times New Roman"/>
        </w:rPr>
        <w:fldChar w:fldCharType="begin"/>
      </w:r>
      <w:r>
        <w:rPr>
          <w:rFonts w:hint="eastAsia" w:hAnsi="Times New Roman"/>
        </w:rPr>
        <w:instrText xml:space="preserve"> TOC \o "1-1" \h \z \u </w:instrText>
      </w:r>
      <w:r>
        <w:rPr>
          <w:rFonts w:hint="eastAsia" w:hAnsi="Times New Roman"/>
        </w:rPr>
        <w:fldChar w:fldCharType="separate"/>
      </w:r>
      <w:r>
        <w:rPr>
          <w:rFonts w:hint="eastAsia" w:hAnsi="Times New Roman"/>
        </w:rPr>
        <w:fldChar w:fldCharType="begin"/>
      </w:r>
      <w:r>
        <w:rPr>
          <w:rFonts w:hint="eastAsia" w:hAnsi="Times New Roman"/>
        </w:rPr>
        <w:instrText xml:space="preserve"> HYPERLINK \l _Toc13739 </w:instrText>
      </w:r>
      <w:r>
        <w:rPr>
          <w:rFonts w:hint="eastAsia" w:hAnsi="Times New Roman"/>
        </w:rPr>
        <w:fldChar w:fldCharType="separate"/>
      </w:r>
      <w:r>
        <w:rPr>
          <w:rFonts w:hint="eastAsia" w:ascii="仿宋_GB2312" w:hAnsi="Times New Roman" w:eastAsia="仿宋_GB2312"/>
          <w:szCs w:val="32"/>
        </w:rPr>
        <w:t>第一章  总则</w:t>
      </w:r>
      <w:r>
        <w:tab/>
      </w:r>
      <w:r>
        <w:fldChar w:fldCharType="begin"/>
      </w:r>
      <w:r>
        <w:instrText xml:space="preserve"> PAGEREF _Toc13739 \h </w:instrText>
      </w:r>
      <w:r>
        <w:fldChar w:fldCharType="separate"/>
      </w:r>
      <w:r>
        <w:t>1</w:t>
      </w:r>
      <w:r>
        <w:fldChar w:fldCharType="end"/>
      </w:r>
      <w:r>
        <w:rPr>
          <w:rFonts w:hint="eastAsia" w:hAnsi="Times New Roman"/>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_Toc10636 </w:instrText>
      </w:r>
      <w:r>
        <w:rPr>
          <w:rFonts w:hint="eastAsia" w:ascii="仿宋_GB2312" w:hAnsi="Times New Roman" w:eastAsia="仿宋_GB2312"/>
          <w:szCs w:val="24"/>
        </w:rPr>
        <w:fldChar w:fldCharType="separate"/>
      </w:r>
      <w:r>
        <w:rPr>
          <w:rFonts w:hint="eastAsia" w:ascii="仿宋_GB2312" w:hAnsi="Times New Roman" w:eastAsia="仿宋_GB2312"/>
          <w:szCs w:val="32"/>
        </w:rPr>
        <w:t>第二章  用地规模与布局</w:t>
      </w:r>
      <w:r>
        <w:tab/>
      </w:r>
      <w:r>
        <w:fldChar w:fldCharType="begin"/>
      </w:r>
      <w:r>
        <w:instrText xml:space="preserve"> PAGEREF _Toc10636 \h </w:instrText>
      </w:r>
      <w:r>
        <w:fldChar w:fldCharType="separate"/>
      </w:r>
      <w:r>
        <w:t>3</w:t>
      </w:r>
      <w:r>
        <w:fldChar w:fldCharType="end"/>
      </w:r>
      <w:r>
        <w:rPr>
          <w:rFonts w:hint="eastAsia" w:ascii="仿宋_GB2312" w:hAnsi="Times New Roman" w:eastAsia="仿宋_GB2312"/>
          <w:szCs w:val="24"/>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_Toc4569 </w:instrText>
      </w:r>
      <w:r>
        <w:rPr>
          <w:rFonts w:hint="eastAsia" w:ascii="仿宋_GB2312" w:hAnsi="Times New Roman" w:eastAsia="仿宋_GB2312"/>
          <w:szCs w:val="24"/>
        </w:rPr>
        <w:fldChar w:fldCharType="separate"/>
      </w:r>
      <w:r>
        <w:rPr>
          <w:rFonts w:hint="eastAsia" w:ascii="仿宋_GB2312" w:hAnsi="Times New Roman" w:eastAsia="仿宋_GB2312"/>
          <w:szCs w:val="32"/>
          <w:lang w:eastAsia="zh-CN"/>
        </w:rPr>
        <w:t>第三章  地块划分与</w:t>
      </w:r>
      <w:r>
        <w:rPr>
          <w:rFonts w:hint="eastAsia" w:ascii="仿宋_GB2312" w:hAnsi="Times New Roman" w:eastAsia="仿宋_GB2312"/>
          <w:szCs w:val="32"/>
        </w:rPr>
        <w:t>控制</w:t>
      </w:r>
      <w:r>
        <w:tab/>
      </w:r>
      <w:r>
        <w:fldChar w:fldCharType="begin"/>
      </w:r>
      <w:r>
        <w:instrText xml:space="preserve"> PAGEREF _Toc4569 \h </w:instrText>
      </w:r>
      <w:r>
        <w:fldChar w:fldCharType="separate"/>
      </w:r>
      <w:r>
        <w:t>4</w:t>
      </w:r>
      <w:r>
        <w:fldChar w:fldCharType="end"/>
      </w:r>
      <w:r>
        <w:rPr>
          <w:rFonts w:hint="eastAsia" w:ascii="仿宋_GB2312" w:hAnsi="Times New Roman" w:eastAsia="仿宋_GB2312"/>
          <w:szCs w:val="24"/>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_Toc15060 </w:instrText>
      </w:r>
      <w:r>
        <w:rPr>
          <w:rFonts w:hint="eastAsia" w:ascii="仿宋_GB2312" w:hAnsi="Times New Roman" w:eastAsia="仿宋_GB2312"/>
          <w:szCs w:val="24"/>
        </w:rPr>
        <w:fldChar w:fldCharType="separate"/>
      </w:r>
      <w:r>
        <w:rPr>
          <w:rFonts w:hint="eastAsia" w:ascii="仿宋_GB2312" w:hAnsi="Times New Roman" w:eastAsia="仿宋_GB2312"/>
          <w:szCs w:val="32"/>
          <w:lang w:eastAsia="zh-CN"/>
        </w:rPr>
        <w:t xml:space="preserve">第四章  </w:t>
      </w:r>
      <w:r>
        <w:rPr>
          <w:rFonts w:hint="eastAsia" w:ascii="仿宋_GB2312" w:hAnsi="Times New Roman" w:eastAsia="仿宋_GB2312"/>
          <w:szCs w:val="32"/>
          <w:lang w:val="en-US" w:eastAsia="zh-CN"/>
        </w:rPr>
        <w:t>道路系统</w:t>
      </w:r>
      <w:r>
        <w:rPr>
          <w:rFonts w:hint="eastAsia" w:ascii="仿宋_GB2312" w:hAnsi="Times New Roman" w:eastAsia="仿宋_GB2312"/>
          <w:szCs w:val="32"/>
        </w:rPr>
        <w:t>规划</w:t>
      </w:r>
      <w:r>
        <w:tab/>
      </w:r>
      <w:r>
        <w:fldChar w:fldCharType="begin"/>
      </w:r>
      <w:r>
        <w:instrText xml:space="preserve"> PAGEREF _Toc15060 \h </w:instrText>
      </w:r>
      <w:r>
        <w:fldChar w:fldCharType="separate"/>
      </w:r>
      <w:r>
        <w:t>6</w:t>
      </w:r>
      <w:r>
        <w:fldChar w:fldCharType="end"/>
      </w:r>
      <w:r>
        <w:rPr>
          <w:rFonts w:hint="eastAsia" w:ascii="仿宋_GB2312" w:hAnsi="Times New Roman" w:eastAsia="仿宋_GB2312"/>
          <w:szCs w:val="24"/>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_Toc20784 </w:instrText>
      </w:r>
      <w:r>
        <w:rPr>
          <w:rFonts w:hint="eastAsia" w:ascii="仿宋_GB2312" w:hAnsi="Times New Roman" w:eastAsia="仿宋_GB2312"/>
          <w:szCs w:val="24"/>
        </w:rPr>
        <w:fldChar w:fldCharType="separate"/>
      </w:r>
      <w:r>
        <w:rPr>
          <w:rFonts w:hint="eastAsia" w:ascii="仿宋_GB2312" w:hAnsi="Times New Roman" w:eastAsia="仿宋_GB2312"/>
          <w:szCs w:val="32"/>
        </w:rPr>
        <w:t>第</w:t>
      </w:r>
      <w:r>
        <w:rPr>
          <w:rFonts w:hint="eastAsia" w:ascii="仿宋_GB2312" w:hAnsi="Times New Roman" w:eastAsia="仿宋_GB2312"/>
          <w:szCs w:val="32"/>
          <w:lang w:val="en-US" w:eastAsia="zh-CN"/>
        </w:rPr>
        <w:t>五</w:t>
      </w:r>
      <w:r>
        <w:rPr>
          <w:rFonts w:hint="eastAsia" w:ascii="仿宋_GB2312" w:hAnsi="Times New Roman" w:eastAsia="仿宋_GB2312"/>
          <w:szCs w:val="32"/>
        </w:rPr>
        <w:t>章  市政基础设施规划</w:t>
      </w:r>
      <w:r>
        <w:tab/>
      </w:r>
      <w:r>
        <w:fldChar w:fldCharType="begin"/>
      </w:r>
      <w:r>
        <w:instrText xml:space="preserve"> PAGEREF _Toc20784 \h </w:instrText>
      </w:r>
      <w:r>
        <w:fldChar w:fldCharType="separate"/>
      </w:r>
      <w:r>
        <w:t>7</w:t>
      </w:r>
      <w:r>
        <w:fldChar w:fldCharType="end"/>
      </w:r>
      <w:r>
        <w:rPr>
          <w:rFonts w:hint="eastAsia" w:ascii="仿宋_GB2312" w:hAnsi="Times New Roman" w:eastAsia="仿宋_GB2312"/>
          <w:szCs w:val="24"/>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_Toc30052 </w:instrText>
      </w:r>
      <w:r>
        <w:rPr>
          <w:rFonts w:hint="eastAsia" w:ascii="仿宋_GB2312" w:hAnsi="Times New Roman" w:eastAsia="仿宋_GB2312"/>
          <w:szCs w:val="24"/>
        </w:rPr>
        <w:fldChar w:fldCharType="separate"/>
      </w:r>
      <w:r>
        <w:rPr>
          <w:rFonts w:hint="eastAsia" w:ascii="仿宋_GB2312" w:hAnsi="Times New Roman" w:eastAsia="仿宋_GB2312"/>
          <w:szCs w:val="32"/>
          <w:lang w:eastAsia="zh-CN"/>
        </w:rPr>
        <w:t>第</w:t>
      </w:r>
      <w:r>
        <w:rPr>
          <w:rFonts w:hint="eastAsia" w:ascii="仿宋_GB2312" w:hAnsi="Times New Roman" w:eastAsia="仿宋_GB2312"/>
          <w:szCs w:val="32"/>
          <w:lang w:val="en-US" w:eastAsia="zh-CN"/>
        </w:rPr>
        <w:t>六</w:t>
      </w:r>
      <w:r>
        <w:rPr>
          <w:rFonts w:hint="eastAsia" w:ascii="仿宋_GB2312" w:hAnsi="Times New Roman" w:eastAsia="仿宋_GB2312"/>
          <w:szCs w:val="32"/>
          <w:lang w:eastAsia="zh-CN"/>
        </w:rPr>
        <w:t xml:space="preserve">章 </w:t>
      </w:r>
      <w:r>
        <w:rPr>
          <w:rFonts w:hint="eastAsia" w:hAnsi="Times New Roman"/>
          <w:szCs w:val="32"/>
          <w:lang w:val="en-US" w:eastAsia="zh-CN"/>
        </w:rPr>
        <w:t xml:space="preserve"> </w:t>
      </w:r>
      <w:r>
        <w:rPr>
          <w:rFonts w:hint="eastAsia" w:ascii="仿宋_GB2312" w:hAnsi="Times New Roman" w:eastAsia="仿宋_GB2312"/>
          <w:szCs w:val="32"/>
        </w:rPr>
        <w:t>综合防灾规划</w:t>
      </w:r>
      <w:r>
        <w:tab/>
      </w:r>
      <w:r>
        <w:fldChar w:fldCharType="begin"/>
      </w:r>
      <w:r>
        <w:instrText xml:space="preserve"> PAGEREF _Toc30052 \h </w:instrText>
      </w:r>
      <w:r>
        <w:fldChar w:fldCharType="separate"/>
      </w:r>
      <w:r>
        <w:t>11</w:t>
      </w:r>
      <w:r>
        <w:fldChar w:fldCharType="end"/>
      </w:r>
      <w:r>
        <w:rPr>
          <w:rFonts w:hint="eastAsia" w:ascii="仿宋_GB2312" w:hAnsi="Times New Roman" w:eastAsia="仿宋_GB2312"/>
          <w:szCs w:val="24"/>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_Toc16733 </w:instrText>
      </w:r>
      <w:r>
        <w:rPr>
          <w:rFonts w:hint="eastAsia" w:ascii="仿宋_GB2312" w:hAnsi="Times New Roman" w:eastAsia="仿宋_GB2312"/>
          <w:szCs w:val="24"/>
        </w:rPr>
        <w:fldChar w:fldCharType="separate"/>
      </w:r>
      <w:r>
        <w:rPr>
          <w:rFonts w:hint="eastAsia" w:ascii="仿宋_GB2312" w:hAnsi="Times New Roman" w:eastAsia="仿宋_GB2312"/>
          <w:szCs w:val="32"/>
          <w:lang w:eastAsia="zh-CN"/>
        </w:rPr>
        <w:t>第</w:t>
      </w:r>
      <w:r>
        <w:rPr>
          <w:rFonts w:hint="eastAsia" w:ascii="仿宋_GB2312" w:hAnsi="Times New Roman" w:eastAsia="仿宋_GB2312"/>
          <w:szCs w:val="32"/>
          <w:lang w:val="en-US" w:eastAsia="zh-CN"/>
        </w:rPr>
        <w:t>七</w:t>
      </w:r>
      <w:r>
        <w:rPr>
          <w:rFonts w:hint="eastAsia" w:ascii="仿宋_GB2312" w:hAnsi="Times New Roman" w:eastAsia="仿宋_GB2312"/>
          <w:szCs w:val="32"/>
          <w:lang w:eastAsia="zh-CN"/>
        </w:rPr>
        <w:t xml:space="preserve">章 </w:t>
      </w:r>
      <w:r>
        <w:rPr>
          <w:rFonts w:hint="eastAsia" w:hAnsi="Times New Roman"/>
          <w:szCs w:val="32"/>
          <w:lang w:val="en-US" w:eastAsia="zh-CN"/>
        </w:rPr>
        <w:t xml:space="preserve"> </w:t>
      </w:r>
      <w:r>
        <w:rPr>
          <w:rFonts w:hint="eastAsia" w:ascii="仿宋_GB2312" w:hAnsi="Times New Roman" w:eastAsia="仿宋_GB2312"/>
          <w:szCs w:val="32"/>
        </w:rPr>
        <w:t>环境保护规划</w:t>
      </w:r>
      <w:r>
        <w:tab/>
      </w:r>
      <w:r>
        <w:fldChar w:fldCharType="begin"/>
      </w:r>
      <w:r>
        <w:instrText xml:space="preserve"> PAGEREF _Toc16733 \h </w:instrText>
      </w:r>
      <w:r>
        <w:fldChar w:fldCharType="separate"/>
      </w:r>
      <w:r>
        <w:t>13</w:t>
      </w:r>
      <w:r>
        <w:fldChar w:fldCharType="end"/>
      </w:r>
      <w:r>
        <w:rPr>
          <w:rFonts w:hint="eastAsia" w:ascii="仿宋_GB2312" w:hAnsi="Times New Roman" w:eastAsia="仿宋_GB2312"/>
          <w:szCs w:val="24"/>
        </w:rPr>
        <w:fldChar w:fldCharType="end"/>
      </w:r>
    </w:p>
    <w:p>
      <w:pPr>
        <w:pStyle w:val="2"/>
        <w:tabs>
          <w:tab w:val="left" w:pos="6663"/>
        </w:tabs>
        <w:spacing w:before="120" w:after="480" w:line="360" w:lineRule="auto"/>
        <w:jc w:val="center"/>
        <w:rPr>
          <w:rFonts w:ascii="仿宋_GB2312" w:hAnsi="Times New Roman" w:eastAsia="仿宋_GB2312"/>
          <w:sz w:val="24"/>
          <w:szCs w:val="24"/>
        </w:rPr>
        <w:sectPr>
          <w:headerReference r:id="rId3" w:type="default"/>
          <w:footerReference r:id="rId4" w:type="default"/>
          <w:pgSz w:w="11906" w:h="16838"/>
          <w:pgMar w:top="1440" w:right="1797" w:bottom="1440" w:left="1797" w:header="851" w:footer="992" w:gutter="0"/>
          <w:pgNumType w:fmt="upperRoman" w:start="1"/>
          <w:cols w:space="425" w:num="1"/>
          <w:docGrid w:type="lines" w:linePitch="312" w:charSpace="0"/>
        </w:sectPr>
      </w:pPr>
      <w:r>
        <w:rPr>
          <w:rFonts w:hint="eastAsia" w:ascii="仿宋_GB2312" w:hAnsi="Times New Roman" w:eastAsia="仿宋_GB2312"/>
          <w:szCs w:val="24"/>
        </w:rPr>
        <w:fldChar w:fldCharType="end"/>
      </w:r>
      <w:bookmarkEnd w:id="0"/>
    </w:p>
    <w:p>
      <w:pPr>
        <w:pStyle w:val="2"/>
        <w:tabs>
          <w:tab w:val="left" w:pos="6663"/>
        </w:tabs>
        <w:spacing w:before="120" w:after="480" w:line="360" w:lineRule="auto"/>
        <w:jc w:val="center"/>
        <w:rPr>
          <w:rFonts w:ascii="仿宋_GB2312" w:hAnsi="Times New Roman" w:eastAsia="仿宋_GB2312"/>
          <w:sz w:val="32"/>
          <w:szCs w:val="32"/>
        </w:rPr>
      </w:pPr>
      <w:bookmarkStart w:id="1" w:name="_Toc13739"/>
      <w:r>
        <w:rPr>
          <w:rFonts w:hint="eastAsia" w:ascii="仿宋_GB2312" w:hAnsi="Times New Roman" w:eastAsia="仿宋_GB2312"/>
          <w:sz w:val="32"/>
          <w:szCs w:val="32"/>
        </w:rPr>
        <w:t>第一章  总则</w:t>
      </w:r>
      <w:bookmarkEnd w:id="1"/>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规划目标</w:t>
      </w:r>
    </w:p>
    <w:p>
      <w:pPr>
        <w:spacing w:line="360" w:lineRule="auto"/>
        <w:ind w:firstLine="480" w:firstLineChars="200"/>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潮州市“三旧”改造工程是促进城市发展的有效途径。为进一步引导“三旧”工程用地布局，有效支撑登塘镇“三旧”项目的顺利建设实施</w:t>
      </w: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2022年7月，登塘镇人民政府对现行“三旧”改造规划开展工作，依据相关政策要求，向潮安区人民政府报告，要求对部分地块开展控制性详细规划编制工作。</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规划依据</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（一）法律、法规、规章及规范</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《中华人民共和国城乡规划法》（2019年修正）；</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《中华人民共和国土地管理法》（2019年修正）；</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《中华人民共和国环境保护法》（2015修订）；</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《城市规划编制办法》（2006）；</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《城市、镇控制性详细规划编制审批办法》（2010）；</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《建设用地容积率管理办法》（2012）；</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《城市用地分类与规划建设用地标准》（GB50137-2011）；</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《城市公共设施规划规范》（GB50442-2008）；</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《城市绿地设计规范》（GB50420-2007-2016年版）；</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《城市绿地分类标准（CJJ/T85—2017）》；</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《城市道路交通规划设计规范》（GB50220－95）；</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《城市停车规划规范》（GB/T51149-2016）；</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《广东省城乡规划条例》（2012）；</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《广东省城市控制性详细规划管理条例》（2014年修正）；</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《广东省城市控制性详细规划编制指引》（2007）；</w:t>
      </w:r>
    </w:p>
    <w:p>
      <w:pPr>
        <w:spacing w:line="360" w:lineRule="auto"/>
        <w:ind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《潮州市城乡规划管理技术规定（试行）（2017）》</w:t>
      </w:r>
    </w:p>
    <w:p>
      <w:pPr>
        <w:spacing w:line="360" w:lineRule="auto"/>
        <w:ind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lang w:eastAsia="zh-CN"/>
        </w:rPr>
        <w:t>《</w:t>
      </w:r>
      <w:r>
        <w:rPr>
          <w:rFonts w:hint="eastAsia" w:ascii="仿宋_GB2312" w:hAnsi="Times New Roman" w:eastAsia="仿宋_GB2312"/>
          <w:sz w:val="24"/>
          <w:szCs w:val="24"/>
        </w:rPr>
        <w:t>潮州市控制性详细规划管理规定</w:t>
      </w:r>
      <w:r>
        <w:rPr>
          <w:rFonts w:hint="eastAsia" w:ascii="仿宋_GB2312" w:hAnsi="Times New Roman" w:eastAsia="仿宋_GB2312"/>
          <w:sz w:val="24"/>
          <w:szCs w:val="24"/>
          <w:lang w:eastAsia="zh-CN"/>
        </w:rPr>
        <w:t>》</w:t>
      </w:r>
      <w:r>
        <w:rPr>
          <w:rFonts w:hint="eastAsia" w:ascii="仿宋_GB2312" w:hAnsi="Times New Roman" w:eastAsia="仿宋_GB2312"/>
          <w:sz w:val="24"/>
          <w:szCs w:val="24"/>
        </w:rPr>
        <w:t>;</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国家、省、市其他有关的法律、法规、规划及规范性文件。</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（二）上层次及相关规划</w:t>
      </w:r>
    </w:p>
    <w:p>
      <w:pPr>
        <w:spacing w:line="360" w:lineRule="auto"/>
        <w:ind w:firstLine="600" w:firstLineChars="250"/>
        <w:rPr>
          <w:rFonts w:hint="eastAsia" w:ascii="仿宋_GB2312" w:hAnsi="Times New Roman" w:eastAsia="仿宋_GB2312"/>
          <w:sz w:val="24"/>
          <w:szCs w:val="24"/>
          <w:lang w:eastAsia="zh-CN"/>
        </w:rPr>
      </w:pPr>
      <w:r>
        <w:rPr>
          <w:rFonts w:hint="eastAsia" w:ascii="仿宋_GB2312" w:hAnsi="Times New Roman" w:eastAsia="仿宋_GB2312"/>
          <w:sz w:val="24"/>
          <w:szCs w:val="24"/>
        </w:rPr>
        <w:t>《潮州市城市总体规划（2015-2035）》</w:t>
      </w:r>
      <w:r>
        <w:rPr>
          <w:rFonts w:hint="eastAsia" w:ascii="仿宋_GB2312" w:hAnsi="Times New Roman" w:eastAsia="仿宋_GB2312"/>
          <w:sz w:val="24"/>
          <w:szCs w:val="24"/>
          <w:lang w:eastAsia="zh-CN"/>
        </w:rPr>
        <w:t>；</w:t>
      </w:r>
    </w:p>
    <w:p>
      <w:pPr>
        <w:spacing w:line="360" w:lineRule="auto"/>
        <w:ind w:firstLine="600" w:firstLineChars="250"/>
        <w:rPr>
          <w:rFonts w:hint="eastAsia" w:ascii="仿宋_GB2312" w:hAnsi="Times New Roman" w:eastAsia="仿宋_GB2312"/>
          <w:sz w:val="24"/>
          <w:szCs w:val="24"/>
          <w:lang w:eastAsia="zh-CN"/>
        </w:rPr>
      </w:pPr>
      <w:r>
        <w:rPr>
          <w:rFonts w:hint="eastAsia" w:ascii="仿宋_GB2312" w:hAnsi="Times New Roman" w:eastAsia="仿宋_GB2312"/>
          <w:sz w:val="24"/>
          <w:szCs w:val="24"/>
        </w:rPr>
        <w:t>《潮州市土地利用总体规划（2006-2020年）》中期调整完善</w:t>
      </w:r>
      <w:r>
        <w:rPr>
          <w:rFonts w:hint="eastAsia" w:ascii="仿宋_GB2312" w:hAnsi="Times New Roman" w:eastAsia="仿宋_GB2312"/>
          <w:sz w:val="24"/>
          <w:szCs w:val="24"/>
          <w:lang w:eastAsia="zh-CN"/>
        </w:rPr>
        <w:t>；</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其他相关专项规划及政策文件。</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（一）落实上层次及相关规划要求；</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（二）与区域发展相协调；</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（三）因地制宜，集约高效。</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规划范围</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本次潮州市登塘镇“三旧”改造DT</w:t>
      </w:r>
      <w:r>
        <w:rPr>
          <w:rFonts w:hint="eastAsia" w:ascii="仿宋_GB2312" w:hAnsi="Times New Roman" w:eastAsia="仿宋_GB2312"/>
          <w:sz w:val="24"/>
          <w:szCs w:val="24"/>
          <w:lang w:val="en-US" w:eastAsia="zh-CN"/>
        </w:rPr>
        <w:t>021</w:t>
      </w:r>
      <w:r>
        <w:rPr>
          <w:rFonts w:hint="eastAsia" w:ascii="仿宋_GB2312" w:hAnsi="Times New Roman" w:eastAsia="仿宋_GB2312"/>
          <w:sz w:val="24"/>
          <w:szCs w:val="24"/>
        </w:rPr>
        <w:t>地块控制性详细规划范围为</w:t>
      </w:r>
      <w:r>
        <w:rPr>
          <w:rFonts w:hint="eastAsia" w:ascii="仿宋_GB2312" w:hAnsi="Times New Roman" w:eastAsia="仿宋_GB2312"/>
          <w:sz w:val="24"/>
          <w:szCs w:val="24"/>
          <w:lang w:val="en-US" w:eastAsia="zh-CN"/>
        </w:rPr>
        <w:t>潮安区登塘镇三乡村三乡路东侧用地</w:t>
      </w:r>
      <w:r>
        <w:rPr>
          <w:rFonts w:hint="eastAsia" w:ascii="仿宋_GB2312" w:hAnsi="Times New Roman" w:eastAsia="仿宋_GB2312"/>
          <w:sz w:val="24"/>
          <w:szCs w:val="24"/>
        </w:rPr>
        <w:t xml:space="preserve">，总规划面积 </w:t>
      </w:r>
      <w:r>
        <w:rPr>
          <w:rFonts w:hint="eastAsia" w:ascii="仿宋_GB2312" w:hAnsi="Times New Roman" w:eastAsia="仿宋_GB2312"/>
          <w:sz w:val="24"/>
          <w:szCs w:val="24"/>
          <w:lang w:val="en-US" w:eastAsia="zh-CN"/>
        </w:rPr>
        <w:t>53789.89平方米</w:t>
      </w:r>
      <w:r>
        <w:rPr>
          <w:rFonts w:hint="eastAsia" w:ascii="仿宋_GB2312" w:hAnsi="Times New Roman" w:eastAsia="仿宋_GB2312"/>
          <w:sz w:val="24"/>
          <w:szCs w:val="24"/>
        </w:rPr>
        <w:t>。</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规划生效日期</w:t>
      </w:r>
      <w:bookmarkStart w:id="14" w:name="_GoBack"/>
      <w:bookmarkEnd w:id="14"/>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本规划经潮安区人民政府批准后，具有法律效力，在规划区内进行建设的任何单位及个人都有遵守本规划的义务。</w:t>
      </w:r>
    </w:p>
    <w:p>
      <w:pPr>
        <w:spacing w:line="360" w:lineRule="auto"/>
        <w:ind w:firstLine="480" w:firstLineChars="200"/>
        <w:rPr>
          <w:rFonts w:ascii="仿宋_GB2312" w:hAnsi="Times New Roman" w:eastAsia="仿宋_GB2312"/>
          <w:sz w:val="24"/>
          <w:szCs w:val="24"/>
        </w:rPr>
      </w:pPr>
    </w:p>
    <w:p>
      <w:pPr>
        <w:bidi w:val="0"/>
      </w:pPr>
      <w:r>
        <w:br w:type="page"/>
      </w:r>
    </w:p>
    <w:p>
      <w:pPr>
        <w:pStyle w:val="2"/>
        <w:spacing w:before="120" w:after="480" w:line="360" w:lineRule="auto"/>
        <w:jc w:val="center"/>
        <w:rPr>
          <w:rFonts w:ascii="仿宋_GB2312" w:hAnsi="Times New Roman" w:eastAsia="仿宋_GB2312"/>
          <w:sz w:val="32"/>
          <w:szCs w:val="32"/>
        </w:rPr>
      </w:pPr>
      <w:bookmarkStart w:id="2" w:name="_Toc10636"/>
      <w:r>
        <w:rPr>
          <w:rFonts w:hint="eastAsia" w:ascii="仿宋_GB2312" w:hAnsi="Times New Roman" w:eastAsia="仿宋_GB2312"/>
          <w:sz w:val="32"/>
          <w:szCs w:val="32"/>
        </w:rPr>
        <w:t>第二章  用地规模与布局</w:t>
      </w:r>
      <w:bookmarkEnd w:id="2"/>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发展规模</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用地规模：规划区总建设用地面积</w:t>
      </w:r>
      <w:r>
        <w:rPr>
          <w:rFonts w:hint="eastAsia" w:ascii="仿宋_GB2312" w:hAnsi="Times New Roman" w:eastAsia="仿宋_GB2312"/>
          <w:sz w:val="24"/>
          <w:szCs w:val="24"/>
          <w:lang w:val="en-US" w:eastAsia="zh-CN"/>
        </w:rPr>
        <w:t>53789.89</w:t>
      </w:r>
      <w:r>
        <w:rPr>
          <w:rFonts w:hint="eastAsia" w:ascii="仿宋_GB2312" w:hAnsi="Times New Roman" w:eastAsia="仿宋_GB2312"/>
          <w:sz w:val="24"/>
          <w:szCs w:val="24"/>
          <w:lang w:eastAsia="zh-CN"/>
        </w:rPr>
        <w:t>平方米</w:t>
      </w:r>
      <w:r>
        <w:rPr>
          <w:rFonts w:hint="eastAsia" w:ascii="仿宋_GB2312" w:hAnsi="Times New Roman" w:eastAsia="仿宋_GB2312"/>
          <w:sz w:val="24"/>
          <w:szCs w:val="24"/>
        </w:rPr>
        <w:t>，都为城市建设用地。</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用地布局</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规划区城市建设用地</w:t>
      </w:r>
      <w:r>
        <w:rPr>
          <w:rFonts w:hint="eastAsia" w:ascii="仿宋_GB2312" w:hAnsi="Times New Roman" w:eastAsia="仿宋_GB2312"/>
          <w:sz w:val="24"/>
          <w:szCs w:val="24"/>
          <w:lang w:val="en-US" w:eastAsia="zh-CN"/>
        </w:rPr>
        <w:t>53789.89</w:t>
      </w:r>
      <w:r>
        <w:rPr>
          <w:rFonts w:hint="eastAsia" w:ascii="仿宋_GB2312" w:hAnsi="Times New Roman" w:eastAsia="仿宋_GB2312"/>
          <w:sz w:val="24"/>
          <w:szCs w:val="24"/>
          <w:lang w:eastAsia="zh-CN"/>
        </w:rPr>
        <w:t>平方米</w:t>
      </w:r>
      <w:r>
        <w:rPr>
          <w:rFonts w:hint="eastAsia" w:ascii="仿宋_GB2312" w:hAnsi="Times New Roman" w:eastAsia="仿宋_GB2312"/>
          <w:sz w:val="24"/>
          <w:szCs w:val="24"/>
        </w:rPr>
        <w:t>，占总用地的</w:t>
      </w:r>
      <w:r>
        <w:rPr>
          <w:rFonts w:hint="eastAsia" w:ascii="仿宋_GB2312" w:hAnsi="Times New Roman" w:eastAsia="仿宋_GB2312"/>
          <w:sz w:val="24"/>
          <w:szCs w:val="24"/>
          <w:lang w:val="en-US" w:eastAsia="zh-CN"/>
        </w:rPr>
        <w:t>100</w:t>
      </w:r>
      <w:r>
        <w:rPr>
          <w:rFonts w:ascii="仿宋_GB2312" w:hAnsi="Times New Roman" w:eastAsia="仿宋_GB2312"/>
          <w:sz w:val="24"/>
          <w:szCs w:val="24"/>
        </w:rPr>
        <w:t>%</w:t>
      </w:r>
      <w:r>
        <w:rPr>
          <w:rFonts w:hint="eastAsia" w:ascii="仿宋_GB2312" w:hAnsi="Times New Roman" w:eastAsia="仿宋_GB2312"/>
          <w:sz w:val="24"/>
          <w:szCs w:val="24"/>
        </w:rPr>
        <w:t>。</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一</w:t>
      </w: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工业用地</w:t>
      </w: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M</w:t>
      </w:r>
      <w:r>
        <w:rPr>
          <w:rFonts w:hint="eastAsia" w:ascii="仿宋_GB2312" w:hAnsi="Times New Roman" w:eastAsia="仿宋_GB2312"/>
          <w:sz w:val="24"/>
          <w:szCs w:val="24"/>
        </w:rPr>
        <w:t>）</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规划</w:t>
      </w:r>
      <w:r>
        <w:rPr>
          <w:rFonts w:hint="eastAsia" w:ascii="仿宋_GB2312" w:hAnsi="Times New Roman" w:eastAsia="仿宋_GB2312"/>
          <w:sz w:val="24"/>
          <w:szCs w:val="24"/>
          <w:lang w:val="en-US" w:eastAsia="zh-CN"/>
        </w:rPr>
        <w:t>工业</w:t>
      </w:r>
      <w:r>
        <w:rPr>
          <w:rFonts w:hint="eastAsia" w:ascii="仿宋_GB2312" w:hAnsi="Times New Roman" w:eastAsia="仿宋_GB2312"/>
          <w:sz w:val="24"/>
          <w:szCs w:val="24"/>
        </w:rPr>
        <w:t>用地</w:t>
      </w:r>
      <w:r>
        <w:rPr>
          <w:rFonts w:hint="eastAsia" w:ascii="仿宋_GB2312" w:hAnsi="Times New Roman" w:eastAsia="仿宋_GB2312"/>
          <w:sz w:val="24"/>
          <w:szCs w:val="24"/>
          <w:lang w:val="en-US" w:eastAsia="zh-CN"/>
        </w:rPr>
        <w:t>50124.59</w:t>
      </w:r>
      <w:r>
        <w:rPr>
          <w:rFonts w:hint="eastAsia" w:ascii="仿宋_GB2312" w:hAnsi="Times New Roman" w:eastAsia="仿宋_GB2312"/>
          <w:sz w:val="24"/>
          <w:szCs w:val="24"/>
          <w:lang w:eastAsia="zh-CN"/>
        </w:rPr>
        <w:t>平方米</w:t>
      </w:r>
      <w:r>
        <w:rPr>
          <w:rFonts w:hint="eastAsia" w:ascii="仿宋_GB2312" w:hAnsi="Times New Roman" w:eastAsia="仿宋_GB2312"/>
          <w:sz w:val="24"/>
          <w:szCs w:val="24"/>
        </w:rPr>
        <w:t>，占城市建设用地的</w:t>
      </w:r>
      <w:r>
        <w:rPr>
          <w:rFonts w:hint="eastAsia" w:ascii="仿宋_GB2312" w:hAnsi="Times New Roman" w:eastAsia="仿宋_GB2312"/>
          <w:sz w:val="24"/>
          <w:szCs w:val="24"/>
          <w:lang w:val="en-US" w:eastAsia="zh-CN"/>
        </w:rPr>
        <w:t>93.19</w:t>
      </w:r>
      <w:r>
        <w:rPr>
          <w:rFonts w:ascii="仿宋_GB2312" w:hAnsi="Times New Roman" w:eastAsia="仿宋_GB2312"/>
          <w:sz w:val="24"/>
          <w:szCs w:val="24"/>
        </w:rPr>
        <w:t>%</w:t>
      </w: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其土地利用性质为</w:t>
      </w:r>
      <w:r>
        <w:rPr>
          <w:rFonts w:hint="eastAsia" w:ascii="仿宋_GB2312" w:hAnsi="Times New Roman" w:eastAsia="仿宋_GB2312"/>
          <w:sz w:val="24"/>
          <w:szCs w:val="24"/>
        </w:rPr>
        <w:t>城市</w:t>
      </w:r>
      <w:r>
        <w:rPr>
          <w:rFonts w:hint="eastAsia" w:ascii="仿宋_GB2312" w:hAnsi="Times New Roman" w:eastAsia="仿宋_GB2312"/>
          <w:sz w:val="24"/>
          <w:szCs w:val="24"/>
          <w:lang w:val="en-US" w:eastAsia="zh-CN"/>
        </w:rPr>
        <w:t>二类工业</w:t>
      </w:r>
      <w:r>
        <w:rPr>
          <w:rFonts w:hint="eastAsia" w:ascii="仿宋_GB2312" w:hAnsi="Times New Roman" w:eastAsia="仿宋_GB2312"/>
          <w:sz w:val="24"/>
          <w:szCs w:val="24"/>
        </w:rPr>
        <w:t>用地。</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二</w:t>
      </w:r>
      <w:r>
        <w:rPr>
          <w:rFonts w:hint="eastAsia" w:ascii="仿宋_GB2312" w:hAnsi="Times New Roman" w:eastAsia="仿宋_GB2312"/>
          <w:sz w:val="24"/>
          <w:szCs w:val="24"/>
        </w:rPr>
        <w:t>）道路与交通设施用地（S）</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规划道路与交通设施用地</w:t>
      </w:r>
      <w:r>
        <w:rPr>
          <w:rFonts w:hint="eastAsia" w:ascii="仿宋_GB2312" w:hAnsi="Times New Roman" w:eastAsia="仿宋_GB2312"/>
          <w:sz w:val="24"/>
          <w:szCs w:val="24"/>
          <w:lang w:val="en-US" w:eastAsia="zh-CN"/>
        </w:rPr>
        <w:t>3665.3</w:t>
      </w:r>
      <w:r>
        <w:rPr>
          <w:rFonts w:hint="eastAsia" w:ascii="仿宋_GB2312" w:hAnsi="Times New Roman" w:eastAsia="仿宋_GB2312"/>
          <w:sz w:val="24"/>
          <w:szCs w:val="24"/>
          <w:lang w:eastAsia="zh-CN"/>
        </w:rPr>
        <w:t>平方米</w:t>
      </w:r>
      <w:r>
        <w:rPr>
          <w:rFonts w:hint="eastAsia" w:ascii="仿宋_GB2312" w:hAnsi="Times New Roman" w:eastAsia="仿宋_GB2312"/>
          <w:sz w:val="24"/>
          <w:szCs w:val="24"/>
        </w:rPr>
        <w:t>，占城市建设用地的</w:t>
      </w:r>
      <w:r>
        <w:rPr>
          <w:rFonts w:hint="eastAsia" w:ascii="仿宋_GB2312" w:hAnsi="Times New Roman" w:eastAsia="仿宋_GB2312"/>
          <w:sz w:val="24"/>
          <w:szCs w:val="24"/>
          <w:lang w:val="en-US" w:eastAsia="zh-CN"/>
        </w:rPr>
        <w:t>6.81</w:t>
      </w:r>
      <w:r>
        <w:rPr>
          <w:rFonts w:ascii="仿宋_GB2312" w:hAnsi="Times New Roman" w:eastAsia="仿宋_GB2312"/>
          <w:sz w:val="24"/>
          <w:szCs w:val="24"/>
        </w:rPr>
        <w:t>%</w:t>
      </w: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其土地利用性质为</w:t>
      </w:r>
      <w:r>
        <w:rPr>
          <w:rFonts w:hint="eastAsia" w:ascii="仿宋_GB2312" w:hAnsi="Times New Roman" w:eastAsia="仿宋_GB2312"/>
          <w:sz w:val="24"/>
          <w:szCs w:val="24"/>
        </w:rPr>
        <w:t>城市道路用地。</w:t>
      </w:r>
    </w:p>
    <w:p>
      <w:pPr>
        <w:spacing w:line="360" w:lineRule="auto"/>
        <w:ind w:firstLine="480" w:firstLineChars="200"/>
        <w:jc w:val="center"/>
        <w:rPr>
          <w:rFonts w:ascii="仿宋_GB2312" w:hAnsi="Times New Roman" w:eastAsia="仿宋_GB2312"/>
          <w:sz w:val="24"/>
          <w:szCs w:val="24"/>
        </w:rPr>
      </w:pPr>
      <w:r>
        <w:rPr>
          <w:rFonts w:hint="eastAsia" w:ascii="仿宋_GB2312" w:hAnsi="Times New Roman" w:eastAsia="仿宋_GB2312"/>
          <w:sz w:val="24"/>
          <w:szCs w:val="24"/>
        </w:rPr>
        <w:t>表2-1：规划用地平衡表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614"/>
        <w:gridCol w:w="1165"/>
        <w:gridCol w:w="1893"/>
        <w:gridCol w:w="1204"/>
        <w:gridCol w:w="1851"/>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35"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城市建设用地　</w:t>
            </w:r>
          </w:p>
        </w:tc>
        <w:tc>
          <w:tcPr>
            <w:tcW w:w="1043" w:type="pct"/>
            <w:gridSpan w:val="2"/>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用地代码</w:t>
            </w:r>
          </w:p>
        </w:tc>
        <w:tc>
          <w:tcPr>
            <w:tcW w:w="1109"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用地名称</w:t>
            </w:r>
          </w:p>
        </w:tc>
        <w:tc>
          <w:tcPr>
            <w:tcW w:w="705"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用地面积（</w:t>
            </w:r>
            <w:r>
              <w:rPr>
                <w:rFonts w:hint="eastAsia" w:cs="宋体" w:asciiTheme="minorEastAsia" w:hAnsiTheme="minorEastAsia"/>
                <w:color w:val="000000" w:themeColor="text1"/>
                <w:kern w:val="0"/>
                <w:sz w:val="18"/>
                <w:szCs w:val="24"/>
                <w:lang w:val="en-US" w:eastAsia="zh-CN"/>
                <w14:textFill>
                  <w14:solidFill>
                    <w14:schemeClr w14:val="tx1"/>
                  </w14:solidFill>
                </w14:textFill>
              </w:rPr>
              <w:t>㎡</w:t>
            </w:r>
            <w:r>
              <w:rPr>
                <w:rFonts w:cs="宋体" w:asciiTheme="minorEastAsia" w:hAnsiTheme="minorEastAsia"/>
                <w:color w:val="000000" w:themeColor="text1"/>
                <w:kern w:val="0"/>
                <w:sz w:val="18"/>
                <w:szCs w:val="24"/>
                <w14:textFill>
                  <w14:solidFill>
                    <w14:schemeClr w14:val="tx1"/>
                  </w14:solidFill>
                </w14:textFill>
              </w:rPr>
              <w:t>）</w:t>
            </w:r>
          </w:p>
        </w:tc>
        <w:tc>
          <w:tcPr>
            <w:tcW w:w="1085"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占城市建设用地比例</w:t>
            </w:r>
          </w:p>
        </w:tc>
        <w:tc>
          <w:tcPr>
            <w:tcW w:w="820"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占总用地比例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3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359" w:type="pc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大类</w:t>
            </w:r>
          </w:p>
        </w:tc>
        <w:tc>
          <w:tcPr>
            <w:tcW w:w="683" w:type="pc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中类</w:t>
            </w:r>
            <w:r>
              <w:rPr>
                <w:rFonts w:cs="宋体" w:asciiTheme="minorEastAsia" w:hAnsiTheme="minorEastAsia"/>
                <w:color w:val="000000" w:themeColor="text1"/>
                <w:kern w:val="0"/>
                <w:sz w:val="18"/>
                <w:szCs w:val="24"/>
                <w14:textFill>
                  <w14:solidFill>
                    <w14:schemeClr w14:val="tx1"/>
                  </w14:solidFill>
                </w14:textFill>
              </w:rPr>
              <w:t>/小类</w:t>
            </w:r>
          </w:p>
        </w:tc>
        <w:tc>
          <w:tcPr>
            <w:tcW w:w="1109"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70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108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820"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359" w:type="pct"/>
            <w:vMerge w:val="restart"/>
            <w:shd w:val="clear" w:color="auto" w:fill="auto"/>
            <w:noWrap/>
            <w:vAlign w:val="center"/>
          </w:tcPr>
          <w:p>
            <w:pPr>
              <w:widowControl/>
              <w:jc w:val="center"/>
              <w:rPr>
                <w:rFonts w:hint="default" w:cs="宋体" w:asciiTheme="minorEastAsia" w:hAnsiTheme="minorEastAsia" w:eastAsiaTheme="minorEastAsia"/>
                <w:color w:val="000000" w:themeColor="text1"/>
                <w:kern w:val="0"/>
                <w:sz w:val="18"/>
                <w:szCs w:val="24"/>
                <w:lang w:val="en-US" w:eastAsia="zh-CN"/>
                <w14:textFill>
                  <w14:solidFill>
                    <w14:schemeClr w14:val="tx1"/>
                  </w14:solidFill>
                </w14:textFill>
              </w:rPr>
            </w:pPr>
            <w:r>
              <w:rPr>
                <w:rFonts w:hint="eastAsia" w:cs="宋体" w:asciiTheme="minorEastAsia" w:hAnsiTheme="minorEastAsia"/>
                <w:color w:val="000000" w:themeColor="text1"/>
                <w:kern w:val="0"/>
                <w:sz w:val="18"/>
                <w:szCs w:val="24"/>
                <w:lang w:val="en-US" w:eastAsia="zh-CN"/>
                <w14:textFill>
                  <w14:solidFill>
                    <w14:schemeClr w14:val="tx1"/>
                  </w14:solidFill>
                </w14:textFill>
              </w:rPr>
              <w:t>M</w:t>
            </w:r>
          </w:p>
        </w:tc>
        <w:tc>
          <w:tcPr>
            <w:tcW w:w="1792" w:type="pct"/>
            <w:gridSpan w:val="2"/>
            <w:shd w:val="clear" w:color="auto" w:fill="auto"/>
            <w:noWrap/>
            <w:vAlign w:val="center"/>
          </w:tcPr>
          <w:p>
            <w:pPr>
              <w:widowControl/>
              <w:jc w:val="center"/>
              <w:rPr>
                <w:rFonts w:hint="default" w:cs="宋体" w:asciiTheme="minorEastAsia" w:hAnsiTheme="minorEastAsia" w:eastAsiaTheme="minorEastAsia"/>
                <w:color w:val="000000" w:themeColor="text1"/>
                <w:kern w:val="0"/>
                <w:sz w:val="18"/>
                <w:szCs w:val="24"/>
                <w:lang w:val="en-US" w:eastAsia="zh-CN"/>
                <w14:textFill>
                  <w14:solidFill>
                    <w14:schemeClr w14:val="tx1"/>
                  </w14:solidFill>
                </w14:textFill>
              </w:rPr>
            </w:pPr>
            <w:r>
              <w:rPr>
                <w:rFonts w:hint="eastAsia" w:cs="宋体" w:asciiTheme="minorEastAsia" w:hAnsiTheme="minorEastAsia"/>
                <w:color w:val="000000" w:themeColor="text1"/>
                <w:kern w:val="0"/>
                <w:sz w:val="18"/>
                <w:szCs w:val="24"/>
                <w:lang w:val="en-US" w:eastAsia="zh-CN"/>
                <w14:textFill>
                  <w14:solidFill>
                    <w14:schemeClr w14:val="tx1"/>
                  </w14:solidFill>
                </w14:textFill>
              </w:rPr>
              <w:t>工业用地</w:t>
            </w:r>
          </w:p>
        </w:tc>
        <w:tc>
          <w:tcPr>
            <w:tcW w:w="705"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50124.59</w:t>
            </w:r>
          </w:p>
        </w:tc>
        <w:tc>
          <w:tcPr>
            <w:tcW w:w="1085"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9</w:t>
            </w:r>
            <w:r>
              <w:rPr>
                <w:rFonts w:hint="eastAsia"/>
                <w:b/>
                <w:color w:val="000000" w:themeColor="text1"/>
                <w:lang w:val="en-US" w:eastAsia="zh-CN"/>
                <w14:textFill>
                  <w14:solidFill>
                    <w14:schemeClr w14:val="tx1"/>
                  </w14:solidFill>
                </w14:textFill>
              </w:rPr>
              <w:t>3</w:t>
            </w:r>
            <w:r>
              <w:rPr>
                <w:rFonts w:hint="eastAsia"/>
                <w:b/>
                <w:color w:val="000000" w:themeColor="text1"/>
                <w14:textFill>
                  <w14:solidFill>
                    <w14:schemeClr w14:val="tx1"/>
                  </w14:solidFill>
                </w14:textFill>
              </w:rPr>
              <w:t>.19</w:t>
            </w:r>
            <w:r>
              <w:rPr>
                <w:b/>
                <w:color w:val="000000" w:themeColor="text1"/>
                <w14:textFill>
                  <w14:solidFill>
                    <w14:schemeClr w14:val="tx1"/>
                  </w14:solidFill>
                </w14:textFill>
              </w:rPr>
              <w:t>%</w:t>
            </w:r>
          </w:p>
        </w:tc>
        <w:tc>
          <w:tcPr>
            <w:tcW w:w="820"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9</w:t>
            </w:r>
            <w:r>
              <w:rPr>
                <w:rFonts w:hint="eastAsia"/>
                <w:b/>
                <w:color w:val="000000" w:themeColor="text1"/>
                <w:lang w:val="en-US" w:eastAsia="zh-CN"/>
                <w14:textFill>
                  <w14:solidFill>
                    <w14:schemeClr w14:val="tx1"/>
                  </w14:solidFill>
                </w14:textFill>
              </w:rPr>
              <w:t>3</w:t>
            </w:r>
            <w:r>
              <w:rPr>
                <w:rFonts w:hint="eastAsia"/>
                <w:b/>
                <w:color w:val="000000" w:themeColor="text1"/>
                <w14:textFill>
                  <w14:solidFill>
                    <w14:schemeClr w14:val="tx1"/>
                  </w14:solidFill>
                </w14:textFill>
              </w:rPr>
              <w:t>.19</w:t>
            </w:r>
            <w:r>
              <w:rPr>
                <w:b/>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3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359"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683" w:type="pct"/>
            <w:shd w:val="clear" w:color="auto" w:fill="auto"/>
            <w:noWrap/>
            <w:vAlign w:val="center"/>
          </w:tcPr>
          <w:p>
            <w:pPr>
              <w:widowControl/>
              <w:jc w:val="center"/>
              <w:rPr>
                <w:rFonts w:hint="default" w:cs="宋体" w:asciiTheme="minorEastAsia" w:hAnsiTheme="minorEastAsia" w:eastAsiaTheme="minorEastAsia"/>
                <w:color w:val="000000" w:themeColor="text1"/>
                <w:kern w:val="0"/>
                <w:sz w:val="18"/>
                <w:szCs w:val="24"/>
                <w:lang w:val="en-US" w:eastAsia="zh-CN"/>
                <w14:textFill>
                  <w14:solidFill>
                    <w14:schemeClr w14:val="tx1"/>
                  </w14:solidFill>
                </w14:textFill>
              </w:rPr>
            </w:pPr>
            <w:r>
              <w:rPr>
                <w:rFonts w:hint="eastAsia" w:cs="宋体" w:asciiTheme="minorEastAsia" w:hAnsiTheme="minorEastAsia"/>
                <w:color w:val="000000" w:themeColor="text1"/>
                <w:kern w:val="0"/>
                <w:sz w:val="18"/>
                <w:szCs w:val="24"/>
                <w:lang w:val="en-US" w:eastAsia="zh-CN"/>
                <w14:textFill>
                  <w14:solidFill>
                    <w14:schemeClr w14:val="tx1"/>
                  </w14:solidFill>
                </w14:textFill>
              </w:rPr>
              <w:t>M2</w:t>
            </w:r>
          </w:p>
        </w:tc>
        <w:tc>
          <w:tcPr>
            <w:tcW w:w="1109" w:type="pct"/>
            <w:shd w:val="clear" w:color="auto" w:fill="auto"/>
            <w:noWrap/>
            <w:vAlign w:val="center"/>
          </w:tcPr>
          <w:p>
            <w:pPr>
              <w:widowControl/>
              <w:jc w:val="center"/>
              <w:rPr>
                <w:rFonts w:hint="default" w:cs="宋体" w:asciiTheme="minorEastAsia" w:hAnsiTheme="minorEastAsia" w:eastAsiaTheme="minorEastAsia"/>
                <w:color w:val="000000" w:themeColor="text1"/>
                <w:kern w:val="0"/>
                <w:sz w:val="18"/>
                <w:szCs w:val="24"/>
                <w:lang w:val="en-US" w:eastAsia="zh-CN"/>
                <w14:textFill>
                  <w14:solidFill>
                    <w14:schemeClr w14:val="tx1"/>
                  </w14:solidFill>
                </w14:textFill>
              </w:rPr>
            </w:pPr>
            <w:r>
              <w:rPr>
                <w:rFonts w:hint="eastAsia" w:cs="宋体" w:asciiTheme="minorEastAsia" w:hAnsiTheme="minorEastAsia"/>
                <w:color w:val="000000" w:themeColor="text1"/>
                <w:kern w:val="0"/>
                <w:sz w:val="18"/>
                <w:szCs w:val="24"/>
                <w:lang w:val="en-US" w:eastAsia="zh-CN"/>
                <w14:textFill>
                  <w14:solidFill>
                    <w14:schemeClr w14:val="tx1"/>
                  </w14:solidFill>
                </w14:textFill>
              </w:rPr>
              <w:t>二类工业用地</w:t>
            </w:r>
          </w:p>
        </w:tc>
        <w:tc>
          <w:tcPr>
            <w:tcW w:w="1204"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50124.59</w:t>
            </w:r>
          </w:p>
        </w:tc>
        <w:tc>
          <w:tcPr>
            <w:tcW w:w="1851"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9</w:t>
            </w:r>
            <w:r>
              <w:rPr>
                <w:rFonts w:hint="eastAsia"/>
                <w:b w:val="0"/>
                <w:bCs/>
                <w:color w:val="000000" w:themeColor="text1"/>
                <w:lang w:val="en-US" w:eastAsia="zh-CN"/>
                <w14:textFill>
                  <w14:solidFill>
                    <w14:schemeClr w14:val="tx1"/>
                  </w14:solidFill>
                </w14:textFill>
              </w:rPr>
              <w:t>3</w:t>
            </w:r>
            <w:r>
              <w:rPr>
                <w:rFonts w:hint="eastAsia"/>
                <w:b w:val="0"/>
                <w:bCs/>
                <w:color w:val="000000" w:themeColor="text1"/>
                <w14:textFill>
                  <w14:solidFill>
                    <w14:schemeClr w14:val="tx1"/>
                  </w14:solidFill>
                </w14:textFill>
              </w:rPr>
              <w:t>.19</w:t>
            </w:r>
            <w:r>
              <w:rPr>
                <w:b w:val="0"/>
                <w:bCs/>
                <w:color w:val="000000" w:themeColor="text1"/>
                <w14:textFill>
                  <w14:solidFill>
                    <w14:schemeClr w14:val="tx1"/>
                  </w14:solidFill>
                </w14:textFill>
              </w:rPr>
              <w:t>%</w:t>
            </w:r>
          </w:p>
        </w:tc>
        <w:tc>
          <w:tcPr>
            <w:tcW w:w="1399"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9</w:t>
            </w:r>
            <w:r>
              <w:rPr>
                <w:rFonts w:hint="eastAsia"/>
                <w:b w:val="0"/>
                <w:bCs/>
                <w:color w:val="000000" w:themeColor="text1"/>
                <w:lang w:val="en-US" w:eastAsia="zh-CN"/>
                <w14:textFill>
                  <w14:solidFill>
                    <w14:schemeClr w14:val="tx1"/>
                  </w14:solidFill>
                </w14:textFill>
              </w:rPr>
              <w:t>3</w:t>
            </w:r>
            <w:r>
              <w:rPr>
                <w:rFonts w:hint="eastAsia"/>
                <w:b w:val="0"/>
                <w:bCs/>
                <w:color w:val="000000" w:themeColor="text1"/>
                <w14:textFill>
                  <w14:solidFill>
                    <w14:schemeClr w14:val="tx1"/>
                  </w14:solidFill>
                </w14:textFill>
              </w:rPr>
              <w:t>.19</w:t>
            </w:r>
            <w:r>
              <w:rPr>
                <w:b w:val="0"/>
                <w:bCs/>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359"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S</w:t>
            </w:r>
          </w:p>
        </w:tc>
        <w:tc>
          <w:tcPr>
            <w:tcW w:w="1792" w:type="pct"/>
            <w:gridSpan w:val="2"/>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道路与交通设施用地</w:t>
            </w:r>
          </w:p>
        </w:tc>
        <w:tc>
          <w:tcPr>
            <w:tcW w:w="705"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3665.3</w:t>
            </w:r>
            <w:r>
              <w:rPr>
                <w:b/>
                <w:color w:val="000000" w:themeColor="text1"/>
                <w14:textFill>
                  <w14:solidFill>
                    <w14:schemeClr w14:val="tx1"/>
                  </w14:solidFill>
                </w14:textFill>
              </w:rPr>
              <w:t xml:space="preserve"> </w:t>
            </w:r>
          </w:p>
        </w:tc>
        <w:tc>
          <w:tcPr>
            <w:tcW w:w="1851" w:type="dxa"/>
            <w:shd w:val="clear" w:color="auto" w:fill="auto"/>
            <w:noWrap/>
            <w:vAlign w:val="center"/>
          </w:tcPr>
          <w:p>
            <w:pPr>
              <w:widowControl/>
              <w:jc w:val="center"/>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6</w:t>
            </w:r>
            <w:r>
              <w:rPr>
                <w:rFonts w:hint="eastAsia"/>
                <w:b/>
                <w:bCs/>
                <w:color w:val="000000" w:themeColor="text1"/>
                <w14:textFill>
                  <w14:solidFill>
                    <w14:schemeClr w14:val="tx1"/>
                  </w14:solidFill>
                </w14:textFill>
              </w:rPr>
              <w:t>.81</w:t>
            </w:r>
            <w:r>
              <w:rPr>
                <w:b/>
                <w:bCs/>
                <w:color w:val="000000" w:themeColor="text1"/>
                <w14:textFill>
                  <w14:solidFill>
                    <w14:schemeClr w14:val="tx1"/>
                  </w14:solidFill>
                </w14:textFill>
              </w:rPr>
              <w:t>%</w:t>
            </w:r>
          </w:p>
        </w:tc>
        <w:tc>
          <w:tcPr>
            <w:tcW w:w="1399" w:type="dxa"/>
            <w:shd w:val="clear" w:color="auto" w:fill="auto"/>
            <w:noWrap/>
            <w:vAlign w:val="center"/>
          </w:tcPr>
          <w:p>
            <w:pPr>
              <w:widowControl/>
              <w:jc w:val="center"/>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6</w:t>
            </w:r>
            <w:r>
              <w:rPr>
                <w:rFonts w:hint="eastAsia"/>
                <w:b/>
                <w:bCs/>
                <w:color w:val="000000" w:themeColor="text1"/>
                <w14:textFill>
                  <w14:solidFill>
                    <w14:schemeClr w14:val="tx1"/>
                  </w14:solidFill>
                </w14:textFill>
              </w:rPr>
              <w:t>.81</w:t>
            </w:r>
            <w:r>
              <w:rPr>
                <w:b/>
                <w:bCs/>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359"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683" w:type="pc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S1</w:t>
            </w:r>
          </w:p>
        </w:tc>
        <w:tc>
          <w:tcPr>
            <w:tcW w:w="1109" w:type="pc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城市道路用地</w:t>
            </w:r>
          </w:p>
        </w:tc>
        <w:tc>
          <w:tcPr>
            <w:tcW w:w="1204"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3665.3</w:t>
            </w:r>
            <w:r>
              <w:rPr>
                <w:b w:val="0"/>
                <w:bCs/>
                <w:color w:val="000000" w:themeColor="text1"/>
                <w14:textFill>
                  <w14:solidFill>
                    <w14:schemeClr w14:val="tx1"/>
                  </w14:solidFill>
                </w14:textFill>
              </w:rPr>
              <w:t xml:space="preserve"> </w:t>
            </w:r>
          </w:p>
        </w:tc>
        <w:tc>
          <w:tcPr>
            <w:tcW w:w="1851"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6</w:t>
            </w:r>
            <w:r>
              <w:rPr>
                <w:rFonts w:hint="eastAsia"/>
                <w:b w:val="0"/>
                <w:bCs/>
                <w:color w:val="000000" w:themeColor="text1"/>
                <w14:textFill>
                  <w14:solidFill>
                    <w14:schemeClr w14:val="tx1"/>
                  </w14:solidFill>
                </w14:textFill>
              </w:rPr>
              <w:t>.81</w:t>
            </w:r>
            <w:r>
              <w:rPr>
                <w:b w:val="0"/>
                <w:bCs/>
                <w:color w:val="000000" w:themeColor="text1"/>
                <w14:textFill>
                  <w14:solidFill>
                    <w14:schemeClr w14:val="tx1"/>
                  </w14:solidFill>
                </w14:textFill>
              </w:rPr>
              <w:t>%</w:t>
            </w:r>
          </w:p>
        </w:tc>
        <w:tc>
          <w:tcPr>
            <w:tcW w:w="1399"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6</w:t>
            </w:r>
            <w:r>
              <w:rPr>
                <w:rFonts w:hint="eastAsia"/>
                <w:b w:val="0"/>
                <w:bCs/>
                <w:color w:val="000000" w:themeColor="text1"/>
                <w14:textFill>
                  <w14:solidFill>
                    <w14:schemeClr w14:val="tx1"/>
                  </w14:solidFill>
                </w14:textFill>
              </w:rPr>
              <w:t>.81</w:t>
            </w:r>
            <w:r>
              <w:rPr>
                <w:b w:val="0"/>
                <w:bCs/>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8" w:type="pct"/>
            <w:gridSpan w:val="4"/>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城市建设用地</w:t>
            </w:r>
          </w:p>
        </w:tc>
        <w:tc>
          <w:tcPr>
            <w:tcW w:w="705"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53789.89</w:t>
            </w:r>
          </w:p>
        </w:tc>
        <w:tc>
          <w:tcPr>
            <w:tcW w:w="1085" w:type="pct"/>
            <w:shd w:val="clear" w:color="auto" w:fill="auto"/>
            <w:noWrap/>
            <w:vAlign w:val="center"/>
          </w:tcPr>
          <w:p>
            <w:pPr>
              <w:widowControl/>
              <w:jc w:val="center"/>
              <w:rPr>
                <w:b/>
                <w:color w:val="000000" w:themeColor="text1"/>
                <w14:textFill>
                  <w14:solidFill>
                    <w14:schemeClr w14:val="tx1"/>
                  </w14:solidFill>
                </w14:textFill>
              </w:rPr>
            </w:pPr>
            <w:r>
              <w:rPr>
                <w:b/>
                <w:color w:val="000000" w:themeColor="text1"/>
                <w14:textFill>
                  <w14:solidFill>
                    <w14:schemeClr w14:val="tx1"/>
                  </w14:solidFill>
                </w14:textFill>
              </w:rPr>
              <w:t>100.00%</w:t>
            </w:r>
          </w:p>
        </w:tc>
        <w:tc>
          <w:tcPr>
            <w:tcW w:w="820"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100.00</w:t>
            </w:r>
            <w:r>
              <w:rPr>
                <w:b/>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2388" w:type="pct"/>
            <w:gridSpan w:val="4"/>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总用地面积</w:t>
            </w:r>
          </w:p>
        </w:tc>
        <w:tc>
          <w:tcPr>
            <w:tcW w:w="705"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53789.89 </w:t>
            </w:r>
          </w:p>
        </w:tc>
        <w:tc>
          <w:tcPr>
            <w:tcW w:w="1085" w:type="pct"/>
            <w:shd w:val="clear" w:color="auto" w:fill="auto"/>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820"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100.00%</w:t>
            </w:r>
          </w:p>
        </w:tc>
      </w:tr>
    </w:tbl>
    <w:p>
      <w:pPr>
        <w:bidi w:val="0"/>
        <w:rPr>
          <w:lang w:eastAsia="zh-CN"/>
        </w:rPr>
      </w:pPr>
      <w:r>
        <w:rPr>
          <w:lang w:eastAsia="zh-CN"/>
        </w:rPr>
        <w:br w:type="page"/>
      </w:r>
    </w:p>
    <w:p>
      <w:pPr>
        <w:pStyle w:val="2"/>
        <w:tabs>
          <w:tab w:val="left" w:pos="6663"/>
        </w:tabs>
        <w:spacing w:before="120" w:after="480" w:line="360" w:lineRule="auto"/>
        <w:jc w:val="center"/>
        <w:rPr>
          <w:rFonts w:ascii="仿宋_GB2312" w:hAnsi="Times New Roman" w:eastAsia="仿宋_GB2312"/>
          <w:sz w:val="32"/>
          <w:szCs w:val="32"/>
        </w:rPr>
      </w:pPr>
      <w:bookmarkStart w:id="3" w:name="_Toc4569"/>
      <w:r>
        <w:rPr>
          <w:rFonts w:hint="eastAsia" w:ascii="仿宋_GB2312" w:hAnsi="Times New Roman" w:eastAsia="仿宋_GB2312"/>
          <w:sz w:val="32"/>
          <w:szCs w:val="32"/>
          <w:lang w:eastAsia="zh-CN"/>
        </w:rPr>
        <w:t>第三章  地块划分与</w:t>
      </w:r>
      <w:r>
        <w:rPr>
          <w:rFonts w:hint="eastAsia" w:ascii="仿宋_GB2312" w:hAnsi="Times New Roman" w:eastAsia="仿宋_GB2312"/>
          <w:sz w:val="32"/>
          <w:szCs w:val="32"/>
        </w:rPr>
        <w:t>控制</w:t>
      </w:r>
      <w:bookmarkEnd w:id="3"/>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地块划分</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本次规划范围内分为</w:t>
      </w:r>
      <w:r>
        <w:rPr>
          <w:rFonts w:ascii="仿宋_GB2312" w:hAnsi="Times New Roman" w:eastAsia="仿宋_GB2312"/>
          <w:sz w:val="24"/>
          <w:szCs w:val="24"/>
        </w:rPr>
        <w:t>1</w:t>
      </w:r>
      <w:r>
        <w:rPr>
          <w:rFonts w:hint="eastAsia" w:ascii="仿宋_GB2312" w:hAnsi="Times New Roman" w:eastAsia="仿宋_GB2312"/>
          <w:sz w:val="24"/>
          <w:szCs w:val="24"/>
        </w:rPr>
        <w:t>个规划管理单元，即</w:t>
      </w:r>
      <w:r>
        <w:rPr>
          <w:rFonts w:hint="eastAsia" w:ascii="仿宋_GB2312" w:hAnsi="Times New Roman" w:eastAsia="仿宋_GB2312"/>
          <w:sz w:val="24"/>
          <w:szCs w:val="24"/>
          <w:lang w:val="en-US" w:eastAsia="zh-CN"/>
        </w:rPr>
        <w:t>DT021</w:t>
      </w:r>
      <w:r>
        <w:rPr>
          <w:rFonts w:ascii="仿宋_GB2312" w:hAnsi="Times New Roman" w:eastAsia="仿宋_GB2312"/>
          <w:sz w:val="24"/>
          <w:szCs w:val="24"/>
        </w:rPr>
        <w:t>单元</w:t>
      </w:r>
      <w:r>
        <w:rPr>
          <w:rFonts w:hint="eastAsia" w:ascii="仿宋_GB2312" w:hAnsi="Times New Roman" w:eastAsia="仿宋_GB2312"/>
          <w:sz w:val="24"/>
          <w:szCs w:val="24"/>
        </w:rPr>
        <w:t>。</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地块编码采用三级编码方法，由“</w:t>
      </w:r>
      <w:bookmarkStart w:id="4" w:name="OLE_LINK14"/>
      <w:bookmarkStart w:id="5" w:name="OLE_LINK12"/>
      <w:r>
        <w:rPr>
          <w:rFonts w:hint="eastAsia" w:ascii="仿宋_GB2312" w:hAnsi="Times New Roman" w:eastAsia="仿宋_GB2312"/>
          <w:sz w:val="24"/>
          <w:szCs w:val="24"/>
        </w:rPr>
        <w:t>规</w:t>
      </w:r>
      <w:bookmarkEnd w:id="4"/>
      <w:bookmarkEnd w:id="5"/>
      <w:bookmarkStart w:id="6" w:name="OLE_LINK11"/>
      <w:bookmarkStart w:id="7" w:name="OLE_LINK10"/>
      <w:r>
        <w:rPr>
          <w:rFonts w:hint="eastAsia" w:ascii="仿宋_GB2312" w:hAnsi="Times New Roman" w:eastAsia="仿宋_GB2312"/>
          <w:sz w:val="24"/>
          <w:szCs w:val="24"/>
        </w:rPr>
        <w:t>划编制单元</w:t>
      </w:r>
      <w:bookmarkEnd w:id="6"/>
      <w:bookmarkEnd w:id="7"/>
      <w:r>
        <w:rPr>
          <w:rFonts w:hint="eastAsia" w:ascii="仿宋_GB2312" w:hAnsi="Times New Roman" w:eastAsia="仿宋_GB2312"/>
          <w:sz w:val="24"/>
          <w:szCs w:val="24"/>
        </w:rPr>
        <w:t>-规划管理单元代码</w:t>
      </w:r>
      <w:r>
        <w:rPr>
          <w:rFonts w:ascii="仿宋_GB2312" w:hAnsi="Times New Roman" w:eastAsia="仿宋_GB2312"/>
          <w:sz w:val="24"/>
          <w:szCs w:val="24"/>
        </w:rPr>
        <w:t>-</w:t>
      </w:r>
      <w:r>
        <w:rPr>
          <w:rFonts w:hint="eastAsia" w:ascii="仿宋_GB2312" w:hAnsi="Times New Roman" w:eastAsia="仿宋_GB2312"/>
          <w:sz w:val="24"/>
          <w:szCs w:val="24"/>
        </w:rPr>
        <w:t>地块代码”组成。本规划范围内分区规划编制单元为</w:t>
      </w:r>
      <w:r>
        <w:rPr>
          <w:rFonts w:hint="eastAsia" w:ascii="仿宋_GB2312" w:hAnsi="Times New Roman" w:eastAsia="仿宋_GB2312"/>
          <w:sz w:val="24"/>
          <w:szCs w:val="24"/>
          <w:lang w:val="en-US" w:eastAsia="zh-CN"/>
        </w:rPr>
        <w:t>D</w:t>
      </w:r>
      <w:r>
        <w:rPr>
          <w:rFonts w:ascii="仿宋_GB2312" w:hAnsi="Times New Roman" w:eastAsia="仿宋_GB2312"/>
          <w:sz w:val="24"/>
          <w:szCs w:val="24"/>
        </w:rPr>
        <w:t>T</w:t>
      </w:r>
      <w:r>
        <w:rPr>
          <w:rFonts w:hint="eastAsia" w:ascii="仿宋_GB2312" w:hAnsi="Times New Roman" w:eastAsia="仿宋_GB2312"/>
          <w:sz w:val="24"/>
          <w:szCs w:val="24"/>
        </w:rPr>
        <w:t>，规划管理单元代码为1</w:t>
      </w:r>
      <w:r>
        <w:rPr>
          <w:rFonts w:hint="eastAsia" w:ascii="仿宋_GB2312" w:hAnsi="Times New Roman" w:eastAsia="仿宋_GB2312"/>
          <w:sz w:val="24"/>
          <w:szCs w:val="24"/>
          <w:lang w:val="en-US" w:eastAsia="zh-CN"/>
        </w:rPr>
        <w:t>5</w:t>
      </w:r>
      <w:r>
        <w:rPr>
          <w:rFonts w:hint="eastAsia" w:ascii="仿宋_GB2312" w:hAnsi="Times New Roman" w:eastAsia="仿宋_GB2312"/>
          <w:sz w:val="24"/>
          <w:szCs w:val="24"/>
        </w:rPr>
        <w:t>；地块代码采用二位数的阿拉伯数字01、02表示，如</w:t>
      </w:r>
      <w:r>
        <w:rPr>
          <w:rFonts w:hint="eastAsia" w:ascii="仿宋_GB2312" w:hAnsi="Times New Roman" w:eastAsia="仿宋_GB2312"/>
          <w:sz w:val="24"/>
          <w:szCs w:val="24"/>
          <w:lang w:val="en-US" w:eastAsia="zh-CN"/>
        </w:rPr>
        <w:t>DT021</w:t>
      </w:r>
      <w:r>
        <w:rPr>
          <w:rFonts w:hint="eastAsia" w:ascii="仿宋_GB2312" w:hAnsi="Times New Roman" w:eastAsia="仿宋_GB2312"/>
          <w:sz w:val="24"/>
          <w:szCs w:val="24"/>
        </w:rPr>
        <w:t>-01、表示</w:t>
      </w:r>
      <w:r>
        <w:rPr>
          <w:rFonts w:hint="eastAsia" w:ascii="仿宋_GB2312" w:hAnsi="Times New Roman" w:eastAsia="仿宋_GB2312"/>
          <w:sz w:val="24"/>
          <w:szCs w:val="24"/>
          <w:lang w:val="en-US" w:eastAsia="zh-CN"/>
        </w:rPr>
        <w:t>D</w:t>
      </w:r>
      <w:r>
        <w:rPr>
          <w:rFonts w:ascii="仿宋_GB2312" w:hAnsi="Times New Roman" w:eastAsia="仿宋_GB2312"/>
          <w:sz w:val="24"/>
          <w:szCs w:val="24"/>
        </w:rPr>
        <w:t>T</w:t>
      </w:r>
      <w:r>
        <w:rPr>
          <w:rFonts w:hint="eastAsia" w:ascii="仿宋_GB2312" w:hAnsi="Times New Roman" w:eastAsia="仿宋_GB2312"/>
          <w:sz w:val="24"/>
          <w:szCs w:val="24"/>
        </w:rPr>
        <w:t>编制单元</w:t>
      </w:r>
      <w:r>
        <w:rPr>
          <w:rFonts w:hint="eastAsia" w:ascii="仿宋_GB2312" w:hAnsi="Times New Roman" w:eastAsia="仿宋_GB2312"/>
          <w:sz w:val="24"/>
          <w:szCs w:val="24"/>
          <w:lang w:val="en-US" w:eastAsia="zh-CN"/>
        </w:rPr>
        <w:t>021</w:t>
      </w:r>
      <w:r>
        <w:rPr>
          <w:rFonts w:hint="eastAsia" w:ascii="仿宋_GB2312" w:hAnsi="Times New Roman" w:eastAsia="仿宋_GB2312"/>
          <w:sz w:val="24"/>
          <w:szCs w:val="24"/>
        </w:rPr>
        <w:t>管理单元01地块。</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各规划单元内地块编号的顺序按从北至南编号。</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地块界线管制</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规划所确定的地块界线，并不一定代表实际开发的用地红线范围，在获得规划行政主管部门批准后，具体开发建设可根据实际情况对细分地块进行合并或对地块进行细分，但应保持开发建设总量不变。对须预留公共开放空间、公共走廊和景观视廊的地块，政府应保留细分的优先权。</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用地性质管制</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在规划实施管理过程中，土地使用性质、用地界线及用地规模必须符合本规划的文本规定。因建设发展需要，土地使用性质可有条件地进行调整，其中用地性质调整应符合以下规定：</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（一）调整不得改变规划结构、用地构成比例。</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（二）调整不得减少公园绿地的规模。</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（三）调整不得取消非盈利性公建配套及市政设施。</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（四）调整宜为与原用地性质的兼容性质。</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（五）调整解释文件应附在本文件内（包括审批文件、变更说明及相应图纸）。</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用地兼容性规定</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为提高地块开发建设的适应性，规划用地二类工业用地</w:t>
      </w:r>
      <w:r>
        <w:rPr>
          <w:rFonts w:hint="eastAsia" w:ascii="仿宋_GB2312" w:hAnsi="Times New Roman" w:eastAsia="仿宋_GB2312"/>
          <w:sz w:val="24"/>
          <w:szCs w:val="24"/>
          <w:lang w:val="en-US" w:eastAsia="zh-CN"/>
        </w:rPr>
        <w:t>的</w:t>
      </w:r>
      <w:r>
        <w:rPr>
          <w:rFonts w:hint="eastAsia" w:ascii="仿宋_GB2312" w:hAnsi="Times New Roman" w:eastAsia="仿宋_GB2312"/>
          <w:sz w:val="24"/>
          <w:szCs w:val="24"/>
        </w:rPr>
        <w:t>兼容性</w:t>
      </w:r>
      <w:r>
        <w:rPr>
          <w:rFonts w:hint="eastAsia" w:ascii="仿宋_GB2312" w:hAnsi="Times New Roman" w:eastAsia="仿宋_GB2312"/>
          <w:sz w:val="24"/>
          <w:szCs w:val="24"/>
          <w:lang w:val="en-US" w:eastAsia="zh-CN"/>
        </w:rPr>
        <w:t>为：</w:t>
      </w:r>
      <w:r>
        <w:rPr>
          <w:rFonts w:hint="eastAsia" w:ascii="仿宋_GB2312" w:hAnsi="Times New Roman" w:eastAsia="仿宋_GB2312"/>
          <w:sz w:val="24"/>
          <w:szCs w:val="24"/>
        </w:rPr>
        <w:t>地块原规划用地性质上，混合一类工业用地用地规模比例可达100%。</w:t>
      </w:r>
    </w:p>
    <w:p>
      <w:pPr>
        <w:spacing w:line="360" w:lineRule="auto"/>
        <w:jc w:val="center"/>
        <w:rPr>
          <w:rFonts w:ascii="仿宋_GB2312" w:hAnsi="Times New Roman" w:eastAsia="仿宋_GB2312"/>
          <w:sz w:val="24"/>
          <w:szCs w:val="24"/>
        </w:rPr>
      </w:pPr>
    </w:p>
    <w:p>
      <w:pPr>
        <w:spacing w:line="360" w:lineRule="auto"/>
        <w:jc w:val="center"/>
        <w:rPr>
          <w:rFonts w:ascii="仿宋_GB2312" w:hAnsi="Times New Roman" w:eastAsia="仿宋_GB2312"/>
          <w:sz w:val="24"/>
          <w:szCs w:val="24"/>
        </w:rPr>
      </w:pPr>
      <w:r>
        <w:rPr>
          <w:rFonts w:ascii="仿宋_GB2312" w:hAnsi="Times New Roman" w:eastAsia="仿宋_GB2312"/>
          <w:sz w:val="24"/>
          <w:szCs w:val="24"/>
        </w:rPr>
        <w:br w:type="page"/>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土地混合使用的管制</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（一）规划区配套的住宅和宿舍应集中规划在居住用地内建设。</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（二）各类非居住类用地原则上不得进行成套住宅和宿舍的建设。</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土地使用强度控制指标体系</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本规划采用容积率、建筑密度、绿地率作为土地使用强度控制指标。</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（一）容积率：即规划地块内各类建筑总面积与地块面积之比，控制其上限值，本规划确定的容积率为地块净容积率。</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（二）建筑密度：即规划地块内各类建筑基底占地面积与地块面积之比，控制其上限值，本规划确定的建筑密度为地块净建筑密度。</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（三）绿地率：指地块内绿地面积与地块面积之比，控制其下限值。</w:t>
      </w:r>
    </w:p>
    <w:p>
      <w:pPr>
        <w:spacing w:line="360" w:lineRule="auto"/>
        <w:ind w:firstLine="480" w:firstLineChars="200"/>
        <w:rPr>
          <w:rFonts w:ascii="仿宋_GB2312" w:hAnsi="Times New Roman" w:eastAsia="仿宋_GB2312"/>
          <w:sz w:val="24"/>
          <w:szCs w:val="24"/>
        </w:rPr>
      </w:pPr>
    </w:p>
    <w:p>
      <w:pPr>
        <w:bidi w:val="0"/>
        <w:rPr>
          <w:lang w:eastAsia="zh-CN"/>
        </w:rPr>
      </w:pPr>
      <w:r>
        <w:rPr>
          <w:lang w:eastAsia="zh-CN"/>
        </w:rPr>
        <w:br w:type="page"/>
      </w:r>
    </w:p>
    <w:p>
      <w:pPr>
        <w:pStyle w:val="2"/>
        <w:spacing w:before="120" w:after="480" w:line="360" w:lineRule="auto"/>
        <w:jc w:val="center"/>
        <w:rPr>
          <w:rFonts w:ascii="仿宋_GB2312" w:hAnsi="Times New Roman" w:eastAsia="仿宋_GB2312"/>
          <w:sz w:val="32"/>
          <w:szCs w:val="32"/>
          <w:lang w:eastAsia="zh-CN"/>
        </w:rPr>
      </w:pPr>
      <w:bookmarkStart w:id="8" w:name="_Toc15060"/>
      <w:r>
        <w:rPr>
          <w:rFonts w:hint="eastAsia" w:ascii="仿宋_GB2312" w:hAnsi="Times New Roman" w:eastAsia="仿宋_GB2312"/>
          <w:sz w:val="32"/>
          <w:szCs w:val="32"/>
          <w:lang w:eastAsia="zh-CN"/>
        </w:rPr>
        <w:t xml:space="preserve">第四章  </w:t>
      </w:r>
      <w:r>
        <w:rPr>
          <w:rFonts w:hint="eastAsia" w:ascii="仿宋_GB2312" w:hAnsi="Times New Roman" w:eastAsia="仿宋_GB2312"/>
          <w:sz w:val="32"/>
          <w:szCs w:val="32"/>
          <w:lang w:val="en-US" w:eastAsia="zh-CN"/>
        </w:rPr>
        <w:t>道路系统</w:t>
      </w:r>
      <w:r>
        <w:rPr>
          <w:rFonts w:hint="eastAsia" w:ascii="仿宋_GB2312" w:hAnsi="Times New Roman" w:eastAsia="仿宋_GB2312"/>
          <w:sz w:val="32"/>
          <w:szCs w:val="32"/>
        </w:rPr>
        <w:t>规划</w:t>
      </w:r>
      <w:bookmarkEnd w:id="8"/>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w:t>
      </w:r>
      <w:r>
        <w:rPr>
          <w:rFonts w:hint="eastAsia" w:ascii="仿宋_GB2312" w:eastAsia="仿宋_GB2312" w:cs="Times New Roman"/>
          <w:b/>
          <w:lang w:val="en-US" w:eastAsia="zh-CN"/>
        </w:rPr>
        <w:t>原则</w:t>
      </w:r>
    </w:p>
    <w:p>
      <w:pPr>
        <w:spacing w:line="360" w:lineRule="auto"/>
        <w:ind w:firstLine="480" w:firstLineChars="200"/>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（1）整体性原则</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lang w:val="en-US" w:eastAsia="zh-CN"/>
        </w:rPr>
        <w:t>规划片区周边道路网应符合道路路网规划，应立足于登塘镇道路交通体系规划的协调，促进道路交通网络的完善</w:t>
      </w:r>
      <w:r>
        <w:rPr>
          <w:rFonts w:hint="eastAsia" w:ascii="仿宋_GB2312" w:hAnsi="Times New Roman" w:eastAsia="仿宋_GB2312"/>
          <w:sz w:val="24"/>
          <w:szCs w:val="24"/>
        </w:rPr>
        <w:t>。</w:t>
      </w:r>
    </w:p>
    <w:p>
      <w:pPr>
        <w:numPr>
          <w:ilvl w:val="0"/>
          <w:numId w:val="2"/>
        </w:numPr>
        <w:spacing w:line="360" w:lineRule="auto"/>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协调性原则</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协调用地改造与道路交通建设的时序部署，一方面利用改造推动</w:t>
      </w:r>
      <w:r>
        <w:rPr>
          <w:rFonts w:hint="eastAsia" w:ascii="仿宋_GB2312" w:hAnsi="Times New Roman" w:eastAsia="仿宋_GB2312"/>
          <w:sz w:val="24"/>
          <w:szCs w:val="24"/>
          <w:lang w:val="en-US" w:eastAsia="zh-CN"/>
        </w:rPr>
        <w:t>登塘</w:t>
      </w:r>
      <w:r>
        <w:rPr>
          <w:rFonts w:hint="default" w:ascii="仿宋_GB2312" w:hAnsi="Times New Roman" w:eastAsia="仿宋_GB2312"/>
          <w:sz w:val="24"/>
          <w:szCs w:val="24"/>
          <w:lang w:val="en-US" w:eastAsia="zh-CN"/>
        </w:rPr>
        <w:t>镇道路系统的完善与更新，另一方面则通过道路建设推动道路两侧用地的</w:t>
      </w:r>
      <w:r>
        <w:rPr>
          <w:rFonts w:hint="eastAsia" w:ascii="仿宋_GB2312" w:hAnsi="Times New Roman" w:eastAsia="仿宋_GB2312"/>
          <w:sz w:val="24"/>
          <w:szCs w:val="24"/>
          <w:lang w:val="en-US" w:eastAsia="zh-CN"/>
        </w:rPr>
        <w:t>开发</w:t>
      </w:r>
      <w:r>
        <w:rPr>
          <w:rFonts w:hint="default" w:ascii="仿宋_GB2312" w:hAnsi="Times New Roman" w:eastAsia="仿宋_GB2312"/>
          <w:sz w:val="24"/>
          <w:szCs w:val="24"/>
          <w:lang w:val="en-US" w:eastAsia="zh-CN"/>
        </w:rPr>
        <w:t>建设。此外，规划片区周边路网通行能力应与用地性质及土地开发强度相协调，为确保交通安全，尽量减少规划建设通往快速路的道路。从多方面共同协调来确定最终的道路系统规划及建设。</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道路</w:t>
      </w:r>
      <w:r>
        <w:rPr>
          <w:rFonts w:hint="eastAsia" w:ascii="仿宋_GB2312" w:eastAsia="仿宋_GB2312" w:cs="Times New Roman"/>
          <w:b/>
          <w:lang w:val="en-US" w:eastAsia="zh-CN"/>
        </w:rPr>
        <w:t>布局</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在道路系统规划中，规划片区的道路系统与</w:t>
      </w:r>
      <w:r>
        <w:rPr>
          <w:rFonts w:hint="eastAsia" w:ascii="仿宋_GB2312" w:hAnsi="Times New Roman" w:eastAsia="仿宋_GB2312"/>
          <w:sz w:val="24"/>
          <w:szCs w:val="24"/>
          <w:lang w:val="en-US" w:eastAsia="zh-CN"/>
        </w:rPr>
        <w:t>登塘</w:t>
      </w:r>
      <w:r>
        <w:rPr>
          <w:rFonts w:hint="eastAsia" w:ascii="仿宋_GB2312" w:hAnsi="Times New Roman" w:eastAsia="仿宋_GB2312"/>
          <w:sz w:val="24"/>
          <w:szCs w:val="24"/>
        </w:rPr>
        <w:t>镇</w:t>
      </w:r>
      <w:r>
        <w:rPr>
          <w:rFonts w:hint="eastAsia" w:ascii="仿宋_GB2312" w:hAnsi="Times New Roman" w:eastAsia="仿宋_GB2312"/>
          <w:sz w:val="24"/>
          <w:szCs w:val="24"/>
          <w:lang w:val="en-US" w:eastAsia="zh-CN"/>
        </w:rPr>
        <w:t>区域内三旧改造</w:t>
      </w:r>
      <w:r>
        <w:rPr>
          <w:rFonts w:hint="eastAsia" w:ascii="仿宋_GB2312" w:hAnsi="Times New Roman" w:eastAsia="仿宋_GB2312"/>
          <w:sz w:val="24"/>
          <w:szCs w:val="24"/>
        </w:rPr>
        <w:t>规划衔接，拓宽</w:t>
      </w:r>
      <w:r>
        <w:rPr>
          <w:rFonts w:hint="eastAsia" w:ascii="仿宋_GB2312" w:hAnsi="Times New Roman" w:eastAsia="仿宋_GB2312"/>
          <w:sz w:val="24"/>
          <w:szCs w:val="24"/>
          <w:lang w:val="en-US" w:eastAsia="zh-CN"/>
        </w:rPr>
        <w:t>三乡路</w:t>
      </w:r>
      <w:r>
        <w:rPr>
          <w:rFonts w:hint="eastAsia" w:ascii="仿宋_GB2312" w:hAnsi="Times New Roman" w:eastAsia="仿宋_GB2312"/>
          <w:sz w:val="24"/>
          <w:szCs w:val="24"/>
        </w:rPr>
        <w:t xml:space="preserve">道路宽度，其道路红线控制宽度为 </w:t>
      </w:r>
      <w:r>
        <w:rPr>
          <w:rFonts w:hint="eastAsia" w:ascii="仿宋_GB2312" w:hAnsi="Times New Roman" w:eastAsia="仿宋_GB2312"/>
          <w:sz w:val="24"/>
          <w:szCs w:val="24"/>
          <w:lang w:val="en-US" w:eastAsia="zh-CN"/>
        </w:rPr>
        <w:t>12</w:t>
      </w:r>
      <w:r>
        <w:rPr>
          <w:rFonts w:hint="eastAsia" w:ascii="仿宋_GB2312" w:hAnsi="Times New Roman" w:eastAsia="仿宋_GB2312"/>
          <w:sz w:val="24"/>
          <w:szCs w:val="24"/>
        </w:rPr>
        <w:t xml:space="preserve"> 米。</w:t>
      </w:r>
    </w:p>
    <w:p>
      <w:pPr>
        <w:spacing w:line="360" w:lineRule="auto"/>
        <w:ind w:firstLine="480" w:firstLineChars="200"/>
        <w:rPr>
          <w:rFonts w:ascii="仿宋_GB2312" w:hAnsi="Times New Roman" w:eastAsia="仿宋_GB2312"/>
          <w:sz w:val="24"/>
          <w:szCs w:val="24"/>
        </w:rPr>
      </w:pPr>
    </w:p>
    <w:p>
      <w:pPr>
        <w:bidi w:val="0"/>
        <w:rPr>
          <w:lang w:eastAsia="zh-CN"/>
        </w:rPr>
      </w:pPr>
      <w:r>
        <w:rPr>
          <w:lang w:eastAsia="zh-CN"/>
        </w:rPr>
        <w:br w:type="page"/>
      </w:r>
    </w:p>
    <w:p>
      <w:pPr>
        <w:pStyle w:val="2"/>
        <w:spacing w:before="120" w:after="480" w:line="360" w:lineRule="auto"/>
        <w:jc w:val="center"/>
        <w:rPr>
          <w:rFonts w:ascii="仿宋_GB2312" w:hAnsi="Times New Roman" w:eastAsia="仿宋_GB2312"/>
          <w:sz w:val="32"/>
          <w:szCs w:val="32"/>
        </w:rPr>
      </w:pPr>
      <w:bookmarkStart w:id="9" w:name="_Toc20784"/>
      <w:r>
        <w:rPr>
          <w:rFonts w:hint="eastAsia" w:ascii="仿宋_GB2312" w:hAnsi="Times New Roman" w:eastAsia="仿宋_GB2312"/>
          <w:sz w:val="32"/>
          <w:szCs w:val="32"/>
        </w:rPr>
        <w:t>第</w:t>
      </w:r>
      <w:r>
        <w:rPr>
          <w:rFonts w:hint="eastAsia" w:ascii="仿宋_GB2312" w:hAnsi="Times New Roman" w:eastAsia="仿宋_GB2312"/>
          <w:sz w:val="32"/>
          <w:szCs w:val="32"/>
          <w:lang w:val="en-US" w:eastAsia="zh-CN"/>
        </w:rPr>
        <w:t>五</w:t>
      </w:r>
      <w:r>
        <w:rPr>
          <w:rFonts w:hint="eastAsia" w:ascii="仿宋_GB2312" w:hAnsi="Times New Roman" w:eastAsia="仿宋_GB2312"/>
          <w:sz w:val="32"/>
          <w:szCs w:val="32"/>
        </w:rPr>
        <w:t>章  市政基础设施规划</w:t>
      </w:r>
      <w:bookmarkEnd w:id="9"/>
    </w:p>
    <w:p>
      <w:pPr>
        <w:pStyle w:val="3"/>
        <w:spacing w:before="312" w:beforeLines="100" w:after="156" w:afterLines="50" w:line="360" w:lineRule="auto"/>
        <w:jc w:val="center"/>
        <w:rPr>
          <w:rFonts w:ascii="仿宋_GB2312" w:hAnsi="宋体" w:eastAsia="仿宋_GB2312"/>
          <w:bCs w:val="0"/>
          <w:sz w:val="28"/>
          <w:szCs w:val="24"/>
        </w:rPr>
      </w:pPr>
      <w:r>
        <w:rPr>
          <w:rFonts w:hint="eastAsia" w:ascii="仿宋_GB2312" w:hAnsi="宋体" w:eastAsia="仿宋_GB2312"/>
          <w:bCs w:val="0"/>
          <w:sz w:val="28"/>
          <w:szCs w:val="24"/>
        </w:rPr>
        <w:t>第一节  竖向工程规划</w:t>
      </w:r>
    </w:p>
    <w:p>
      <w:pPr>
        <w:pStyle w:val="15"/>
        <w:widowControl w:val="0"/>
        <w:numPr>
          <w:ilvl w:val="0"/>
          <w:numId w:val="1"/>
        </w:numPr>
        <w:tabs>
          <w:tab w:val="left" w:pos="0"/>
        </w:tabs>
        <w:spacing w:before="156" w:beforeLines="50" w:afterLines="0"/>
        <w:ind w:left="0" w:firstLine="0"/>
        <w:rPr>
          <w:rFonts w:ascii="仿宋_GB2312" w:hAnsi="宋体" w:eastAsia="仿宋_GB2312"/>
          <w:b/>
        </w:rPr>
      </w:pPr>
      <w:r>
        <w:rPr>
          <w:rFonts w:hint="eastAsia" w:ascii="仿宋_GB2312" w:hAnsi="宋体" w:eastAsia="仿宋_GB2312"/>
          <w:b/>
        </w:rPr>
        <w:t>规划目标</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通过对规划区现状地形地貌、道路标高、排水系统的调研及分析，对规划区的城市竖向系统进行科学规划、合理建设，最终达到建设用地布局合理、工程造价经济、景观优美、自然生态等目标。</w:t>
      </w:r>
    </w:p>
    <w:p>
      <w:pPr>
        <w:pStyle w:val="15"/>
        <w:widowControl w:val="0"/>
        <w:numPr>
          <w:ilvl w:val="0"/>
          <w:numId w:val="1"/>
        </w:numPr>
        <w:tabs>
          <w:tab w:val="left" w:pos="0"/>
        </w:tabs>
        <w:spacing w:before="156" w:beforeLines="50" w:afterLines="0"/>
        <w:ind w:left="0" w:firstLine="0"/>
        <w:rPr>
          <w:rFonts w:ascii="仿宋_GB2312" w:hAnsi="宋体" w:eastAsia="仿宋_GB2312"/>
          <w:b/>
        </w:rPr>
      </w:pPr>
      <w:r>
        <w:rPr>
          <w:rFonts w:hint="eastAsia" w:ascii="仿宋_GB2312" w:hAnsi="宋体" w:eastAsia="仿宋_GB2312"/>
          <w:b/>
        </w:rPr>
        <w:t>规划原则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（一）可持续原则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注重生态环境的塑造，减少对自然生态体系的破坏和冲击,使规划区实现生态环境的可持续发展。</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（二）弹性原则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充分重视开发时序，引导规划区分期建设，强化规划的可操作性，使开发的每个阶段紧凑、集中，又为以后开发留有余地，使规划具有弹性。</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（三）经济性原则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规划在满足道路使用功能和防洪的前提下，尽可能地减小填方区域的土方工程投资。</w:t>
      </w:r>
    </w:p>
    <w:p>
      <w:pPr>
        <w:pStyle w:val="15"/>
        <w:widowControl w:val="0"/>
        <w:numPr>
          <w:ilvl w:val="0"/>
          <w:numId w:val="1"/>
        </w:numPr>
        <w:tabs>
          <w:tab w:val="left" w:pos="0"/>
        </w:tabs>
        <w:spacing w:before="156" w:beforeLines="50" w:afterLines="0"/>
        <w:ind w:left="0" w:firstLine="0"/>
        <w:rPr>
          <w:rFonts w:ascii="仿宋_GB2312" w:hAnsi="宋体" w:eastAsia="仿宋_GB2312"/>
          <w:b/>
        </w:rPr>
      </w:pPr>
      <w:r>
        <w:rPr>
          <w:rFonts w:hint="eastAsia" w:ascii="仿宋_GB2312" w:hAnsi="宋体" w:eastAsia="仿宋_GB2312"/>
          <w:b/>
        </w:rPr>
        <w:t>道路竖向规划</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竖向设计以顺应地形并考虑到与周边地块衔接为原则，通过设置合理的纵坡，减少土方量，并做到近期减少边坡防护工程量，远期能与地块开发竖向能较好的顺接进行设计。道路设计时按下表进行设计。</w:t>
      </w:r>
    </w:p>
    <w:p>
      <w:pPr>
        <w:spacing w:line="360" w:lineRule="auto"/>
        <w:ind w:firstLine="480" w:firstLineChars="200"/>
        <w:jc w:val="center"/>
        <w:rPr>
          <w:rFonts w:ascii="仿宋_GB2312" w:eastAsia="仿宋_GB2312"/>
          <w:sz w:val="24"/>
          <w:szCs w:val="24"/>
        </w:rPr>
      </w:pPr>
      <w:r>
        <w:rPr>
          <w:rFonts w:hint="eastAsia" w:ascii="仿宋_GB2312" w:eastAsia="仿宋_GB2312"/>
          <w:sz w:val="24"/>
          <w:szCs w:val="24"/>
        </w:rPr>
        <w:t>表</w:t>
      </w:r>
      <w:r>
        <w:rPr>
          <w:rFonts w:hint="eastAsia" w:ascii="仿宋_GB2312" w:eastAsia="仿宋_GB2312"/>
          <w:sz w:val="24"/>
          <w:szCs w:val="24"/>
          <w:lang w:val="en-US" w:eastAsia="zh-CN"/>
        </w:rPr>
        <w:t>5</w:t>
      </w:r>
      <w:r>
        <w:rPr>
          <w:rFonts w:ascii="仿宋_GB2312" w:eastAsia="仿宋_GB2312"/>
          <w:sz w:val="24"/>
          <w:szCs w:val="24"/>
        </w:rPr>
        <w:t xml:space="preserve">-1 </w:t>
      </w:r>
      <w:r>
        <w:rPr>
          <w:rFonts w:hint="eastAsia" w:ascii="仿宋_GB2312" w:eastAsia="仿宋_GB2312"/>
          <w:sz w:val="24"/>
          <w:szCs w:val="24"/>
        </w:rPr>
        <w:t>道路规划纵坡表</w:t>
      </w:r>
    </w:p>
    <w:tbl>
      <w:tblPr>
        <w:tblStyle w:val="8"/>
        <w:tblW w:w="798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805"/>
        <w:gridCol w:w="245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9"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道路类别</w:t>
            </w:r>
          </w:p>
        </w:tc>
        <w:tc>
          <w:tcPr>
            <w:tcW w:w="1805" w:type="dxa"/>
            <w:vAlign w:val="center"/>
          </w:tcPr>
          <w:p>
            <w:pPr>
              <w:spacing w:line="360" w:lineRule="auto"/>
              <w:rPr>
                <w:rFonts w:ascii="仿宋_GB2312" w:eastAsia="仿宋_GB2312"/>
                <w:sz w:val="24"/>
                <w:szCs w:val="24"/>
              </w:rPr>
            </w:pPr>
            <w:r>
              <w:rPr>
                <w:rFonts w:hint="eastAsia" w:ascii="仿宋_GB2312" w:eastAsia="仿宋_GB2312"/>
                <w:sz w:val="24"/>
                <w:szCs w:val="24"/>
              </w:rPr>
              <w:t>最小纵坡（%）</w:t>
            </w:r>
          </w:p>
        </w:tc>
        <w:tc>
          <w:tcPr>
            <w:tcW w:w="2456"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最大纵坡（%）</w:t>
            </w:r>
          </w:p>
        </w:tc>
        <w:tc>
          <w:tcPr>
            <w:tcW w:w="1983" w:type="dxa"/>
            <w:vAlign w:val="center"/>
          </w:tcPr>
          <w:p>
            <w:pPr>
              <w:spacing w:line="360" w:lineRule="auto"/>
              <w:rPr>
                <w:rFonts w:ascii="仿宋_GB2312" w:eastAsia="仿宋_GB2312"/>
                <w:sz w:val="24"/>
                <w:szCs w:val="24"/>
              </w:rPr>
            </w:pPr>
            <w:r>
              <w:rPr>
                <w:rFonts w:hint="eastAsia" w:ascii="仿宋_GB2312" w:eastAsia="仿宋_GB2312"/>
                <w:sz w:val="24"/>
                <w:szCs w:val="24"/>
              </w:rPr>
              <w:t>最小坡长（m）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9"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主干路</w:t>
            </w:r>
          </w:p>
        </w:tc>
        <w:tc>
          <w:tcPr>
            <w:tcW w:w="1805" w:type="dxa"/>
            <w:vMerge w:val="restart"/>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0.</w:t>
            </w:r>
            <w:r>
              <w:rPr>
                <w:rFonts w:ascii="仿宋_GB2312" w:eastAsia="仿宋_GB2312"/>
                <w:sz w:val="24"/>
                <w:szCs w:val="24"/>
              </w:rPr>
              <w:t>02</w:t>
            </w:r>
          </w:p>
        </w:tc>
        <w:tc>
          <w:tcPr>
            <w:tcW w:w="2456"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5</w:t>
            </w:r>
          </w:p>
        </w:tc>
        <w:tc>
          <w:tcPr>
            <w:tcW w:w="1983"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39"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次干路</w:t>
            </w:r>
          </w:p>
        </w:tc>
        <w:tc>
          <w:tcPr>
            <w:tcW w:w="1805" w:type="dxa"/>
            <w:vMerge w:val="continue"/>
            <w:vAlign w:val="center"/>
          </w:tcPr>
          <w:p>
            <w:pPr>
              <w:spacing w:line="360" w:lineRule="auto"/>
              <w:ind w:firstLine="480" w:firstLineChars="200"/>
              <w:rPr>
                <w:rFonts w:ascii="仿宋_GB2312" w:eastAsia="仿宋_GB2312"/>
                <w:sz w:val="24"/>
                <w:szCs w:val="24"/>
              </w:rPr>
            </w:pPr>
          </w:p>
        </w:tc>
        <w:tc>
          <w:tcPr>
            <w:tcW w:w="2456"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6</w:t>
            </w:r>
          </w:p>
        </w:tc>
        <w:tc>
          <w:tcPr>
            <w:tcW w:w="1983"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9"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支路</w:t>
            </w:r>
          </w:p>
        </w:tc>
        <w:tc>
          <w:tcPr>
            <w:tcW w:w="1805" w:type="dxa"/>
            <w:vMerge w:val="continue"/>
            <w:vAlign w:val="center"/>
          </w:tcPr>
          <w:p>
            <w:pPr>
              <w:spacing w:line="360" w:lineRule="auto"/>
              <w:ind w:firstLine="480" w:firstLineChars="200"/>
              <w:rPr>
                <w:rFonts w:ascii="仿宋_GB2312" w:eastAsia="仿宋_GB2312"/>
                <w:sz w:val="24"/>
                <w:szCs w:val="24"/>
              </w:rPr>
            </w:pPr>
          </w:p>
        </w:tc>
        <w:tc>
          <w:tcPr>
            <w:tcW w:w="2456"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8</w:t>
            </w:r>
          </w:p>
        </w:tc>
        <w:tc>
          <w:tcPr>
            <w:tcW w:w="1983"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60</w:t>
            </w:r>
          </w:p>
        </w:tc>
      </w:tr>
    </w:tbl>
    <w:p>
      <w:pPr>
        <w:spacing w:line="360" w:lineRule="auto"/>
        <w:ind w:firstLine="480" w:firstLineChars="200"/>
        <w:rPr>
          <w:rFonts w:ascii="仿宋_GB2312" w:eastAsia="仿宋_GB2312"/>
          <w:sz w:val="24"/>
          <w:szCs w:val="24"/>
        </w:rPr>
      </w:pPr>
      <w:r>
        <w:rPr>
          <w:rFonts w:hint="eastAsia" w:ascii="仿宋_GB2312" w:eastAsia="仿宋_GB2312"/>
          <w:sz w:val="24"/>
          <w:szCs w:val="24"/>
        </w:rPr>
        <w:t>回填区道路标高按照低于地块标高0.2m～0.3m，道路纵坡基本上按不小于0.1%进行设计。</w:t>
      </w:r>
    </w:p>
    <w:p>
      <w:pPr>
        <w:pStyle w:val="3"/>
        <w:spacing w:before="312" w:beforeLines="100" w:after="156" w:afterLines="50" w:line="360" w:lineRule="auto"/>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bCs w:val="0"/>
          <w:color w:val="000000" w:themeColor="text1"/>
          <w:sz w:val="28"/>
          <w:szCs w:val="24"/>
          <w14:textFill>
            <w14:solidFill>
              <w14:schemeClr w14:val="tx1"/>
            </w14:solidFill>
          </w14:textFill>
        </w:rPr>
        <w:t>第二节  给水工程规划</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水源规划</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lang w:val="en-US" w:eastAsia="zh-CN"/>
          <w14:textFill>
            <w14:solidFill>
              <w14:schemeClr w14:val="tx1"/>
            </w14:solidFill>
          </w14:textFill>
        </w:rPr>
        <w:t>规划区近期接驳登塘镇供水厂，远期接驳大岭山供水厂</w:t>
      </w:r>
      <w:r>
        <w:rPr>
          <w:rFonts w:hint="eastAsia" w:ascii="仿宋_GB2312" w:hAnsi="Times New Roman" w:eastAsia="仿宋_GB2312"/>
          <w:color w:val="000000" w:themeColor="text1"/>
          <w:sz w:val="24"/>
          <w:szCs w:val="24"/>
          <w14:textFill>
            <w14:solidFill>
              <w14:schemeClr w14:val="tx1"/>
            </w14:solidFill>
          </w14:textFill>
        </w:rPr>
        <w:t>。</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输配水管网规划</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w:t>
      </w:r>
      <w:r>
        <w:rPr>
          <w:rFonts w:hint="eastAsia" w:ascii="仿宋_GB2312" w:eastAsia="仿宋_GB2312"/>
          <w:color w:val="000000" w:themeColor="text1"/>
          <w:sz w:val="24"/>
          <w:szCs w:val="24"/>
          <w14:textFill>
            <w14:solidFill>
              <w14:schemeClr w14:val="tx1"/>
            </w14:solidFill>
          </w14:textFill>
        </w:rPr>
        <w:t>1）管网布局原则</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◆管网布置宜以最短线路输送至用水量大的区域。</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◆管网规划以环形网络为主，枝状为辅，以保证供水安全性。</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◆规划管网设计只考虑DN200以上的配水干管，而街区小管道可根据实际情况与环形干管连接成小环形或枝状网。</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◆管道应尽可能敷设在现有或规划道路上，以利于施工维护。</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◆输、配管道流速宜按经济流速计算，并留有一定的发展的余地，以降低水厂长期的运行的电耗。</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（2）管网布置</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规划道路和新建设区域完善管网布设，并形成环状供水管网，管径为dn200-dn</w:t>
      </w:r>
      <w:r>
        <w:rPr>
          <w:rFonts w:ascii="仿宋_GB2312" w:eastAsia="仿宋_GB2312"/>
          <w:color w:val="000000" w:themeColor="text1"/>
          <w:sz w:val="24"/>
          <w:szCs w:val="24"/>
          <w14:textFill>
            <w14:solidFill>
              <w14:schemeClr w14:val="tx1"/>
            </w14:solidFill>
          </w14:textFill>
        </w:rPr>
        <w:t>600</w:t>
      </w:r>
      <w:r>
        <w:rPr>
          <w:rFonts w:hint="eastAsia" w:ascii="仿宋_GB2312" w:eastAsia="仿宋_GB2312"/>
          <w:color w:val="000000" w:themeColor="text1"/>
          <w:sz w:val="24"/>
          <w:szCs w:val="24"/>
          <w14:textFill>
            <w14:solidFill>
              <w14:schemeClr w14:val="tx1"/>
            </w14:solidFill>
          </w14:textFill>
        </w:rPr>
        <w:t>。</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节水规划</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（1）加强规划区供水管网的维护管理、改进测漏技术、使用新型管材和接口，采取有效措施防止管网漏失。</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（2）选用质量好的节水型用水器具，节约居民生活用水和公共场所用水。</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（3）政府引导。促进节水型企业入驻，限制耗水污染型工业发展，鼓励水资源重复利用。</w:t>
      </w:r>
    </w:p>
    <w:p>
      <w:pPr>
        <w:pStyle w:val="3"/>
        <w:spacing w:before="312" w:beforeLines="100" w:after="156" w:afterLines="50" w:line="360" w:lineRule="auto"/>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bCs w:val="0"/>
          <w:color w:val="000000" w:themeColor="text1"/>
          <w:sz w:val="28"/>
          <w:szCs w:val="24"/>
          <w14:textFill>
            <w14:solidFill>
              <w14:schemeClr w14:val="tx1"/>
            </w14:solidFill>
          </w14:textFill>
        </w:rPr>
        <w:t>第三节  污水工程规划</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排水体系规划</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规划</w:t>
      </w:r>
      <w:r>
        <w:rPr>
          <w:rFonts w:hint="eastAsia" w:ascii="仿宋_GB2312" w:eastAsia="仿宋_GB2312"/>
          <w:color w:val="000000" w:themeColor="text1"/>
          <w:sz w:val="24"/>
          <w:szCs w:val="24"/>
          <w:lang w:val="en-US" w:eastAsia="zh-CN"/>
          <w14:textFill>
            <w14:solidFill>
              <w14:schemeClr w14:val="tx1"/>
            </w14:solidFill>
          </w14:textFill>
        </w:rPr>
        <w:t>区排水系统采用雨污分流制</w:t>
      </w:r>
      <w:r>
        <w:rPr>
          <w:rFonts w:hint="eastAsia" w:ascii="仿宋_GB2312" w:eastAsia="仿宋_GB2312"/>
          <w:color w:val="000000" w:themeColor="text1"/>
          <w:sz w:val="24"/>
          <w:szCs w:val="24"/>
          <w14:textFill>
            <w14:solidFill>
              <w14:schemeClr w14:val="tx1"/>
            </w14:solidFill>
          </w14:textFill>
        </w:rPr>
        <w:t>。</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污水系统</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污水</w:t>
      </w:r>
      <w:r>
        <w:rPr>
          <w:rFonts w:hint="eastAsia" w:ascii="仿宋_GB2312" w:eastAsia="仿宋_GB2312"/>
          <w:color w:val="000000" w:themeColor="text1"/>
          <w:sz w:val="24"/>
          <w:szCs w:val="24"/>
          <w:lang w:val="en-US" w:eastAsia="zh-CN"/>
          <w14:textFill>
            <w14:solidFill>
              <w14:schemeClr w14:val="tx1"/>
            </w14:solidFill>
          </w14:textFill>
        </w:rPr>
        <w:t>近期主要排向登塘镇污水厂</w:t>
      </w:r>
      <w:r>
        <w:rPr>
          <w:rFonts w:hint="eastAsia" w:ascii="仿宋_GB2312" w:eastAsia="仿宋_GB2312"/>
          <w:color w:val="000000" w:themeColor="text1"/>
          <w:sz w:val="24"/>
          <w:szCs w:val="24"/>
          <w14:textFill>
            <w14:solidFill>
              <w14:schemeClr w14:val="tx1"/>
            </w14:solidFill>
          </w14:textFill>
        </w:rPr>
        <w:t>进行处理，远期规划规模</w:t>
      </w:r>
      <w:r>
        <w:rPr>
          <w:rFonts w:hint="eastAsia" w:ascii="仿宋_GB2312" w:eastAsia="仿宋_GB2312"/>
          <w:color w:val="000000" w:themeColor="text1"/>
          <w:sz w:val="24"/>
          <w:szCs w:val="24"/>
          <w:lang w:val="en-US" w:eastAsia="zh-CN"/>
          <w14:textFill>
            <w14:solidFill>
              <w14:schemeClr w14:val="tx1"/>
            </w14:solidFill>
          </w14:textFill>
        </w:rPr>
        <w:t>排向大岭山污水厂进行处理</w:t>
      </w:r>
      <w:r>
        <w:rPr>
          <w:rFonts w:hint="eastAsia" w:ascii="仿宋_GB2312" w:eastAsia="仿宋_GB2312"/>
          <w:color w:val="000000" w:themeColor="text1"/>
          <w:sz w:val="24"/>
          <w:szCs w:val="24"/>
          <w14:textFill>
            <w14:solidFill>
              <w14:schemeClr w14:val="tx1"/>
            </w14:solidFill>
          </w14:textFill>
        </w:rPr>
        <w:t>。</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污水管网规划</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污水管渠以重力流为主，沿主要道路敷设。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规划</w:t>
      </w:r>
      <w:r>
        <w:rPr>
          <w:rFonts w:hint="eastAsia" w:ascii="仿宋_GB2312" w:eastAsia="仿宋_GB2312"/>
          <w:color w:val="000000" w:themeColor="text1"/>
          <w:sz w:val="24"/>
          <w:szCs w:val="24"/>
          <w:lang w:val="en-US" w:eastAsia="zh-CN"/>
          <w14:textFill>
            <w14:solidFill>
              <w14:schemeClr w14:val="tx1"/>
            </w14:solidFill>
          </w14:textFill>
        </w:rPr>
        <w:t>区</w:t>
      </w:r>
      <w:r>
        <w:rPr>
          <w:rFonts w:hint="eastAsia" w:ascii="仿宋_GB2312" w:eastAsia="仿宋_GB2312"/>
          <w:color w:val="000000" w:themeColor="text1"/>
          <w:sz w:val="24"/>
          <w:szCs w:val="24"/>
          <w14:textFill>
            <w14:solidFill>
              <w14:schemeClr w14:val="tx1"/>
            </w14:solidFill>
          </w14:textFill>
        </w:rPr>
        <w:t>污水干管管径约为d</w:t>
      </w:r>
      <w:r>
        <w:rPr>
          <w:rFonts w:ascii="仿宋_GB2312" w:eastAsia="仿宋_GB2312"/>
          <w:color w:val="000000" w:themeColor="text1"/>
          <w:sz w:val="24"/>
          <w:szCs w:val="24"/>
          <w14:textFill>
            <w14:solidFill>
              <w14:schemeClr w14:val="tx1"/>
            </w14:solidFill>
          </w14:textFill>
        </w:rPr>
        <w:t>3</w:t>
      </w:r>
      <w:r>
        <w:rPr>
          <w:rFonts w:hint="eastAsia" w:ascii="仿宋_GB2312" w:eastAsia="仿宋_GB2312"/>
          <w:color w:val="000000" w:themeColor="text1"/>
          <w:sz w:val="24"/>
          <w:szCs w:val="24"/>
          <w14:textFill>
            <w14:solidFill>
              <w14:schemeClr w14:val="tx1"/>
            </w14:solidFill>
          </w14:textFill>
        </w:rPr>
        <w:t>00，污水干管的起点覆土不小于</w:t>
      </w:r>
      <w:r>
        <w:rPr>
          <w:rFonts w:ascii="仿宋_GB2312" w:eastAsia="仿宋_GB2312"/>
          <w:color w:val="000000" w:themeColor="text1"/>
          <w:sz w:val="24"/>
          <w:szCs w:val="24"/>
          <w14:textFill>
            <w14:solidFill>
              <w14:schemeClr w14:val="tx1"/>
            </w14:solidFill>
          </w14:textFill>
        </w:rPr>
        <w:t>1.5</w:t>
      </w:r>
      <w:r>
        <w:rPr>
          <w:rFonts w:hint="eastAsia" w:ascii="仿宋_GB2312" w:eastAsia="仿宋_GB2312"/>
          <w:color w:val="000000" w:themeColor="text1"/>
          <w:sz w:val="24"/>
          <w:szCs w:val="24"/>
          <w14:textFill>
            <w14:solidFill>
              <w14:schemeClr w14:val="tx1"/>
            </w14:solidFill>
          </w14:textFill>
        </w:rPr>
        <w:t>m。在管道交汇处、转弯处、跌水处、管径或坡度改变处以及直线管段上每隔一定距离处应当设检查井。</w:t>
      </w:r>
    </w:p>
    <w:p>
      <w:pPr>
        <w:pStyle w:val="3"/>
        <w:numPr>
          <w:ilvl w:val="0"/>
          <w:numId w:val="3"/>
        </w:numPr>
        <w:spacing w:before="312" w:beforeLines="100" w:after="156" w:afterLines="50" w:line="360" w:lineRule="auto"/>
        <w:jc w:val="center"/>
        <w:rPr>
          <w:rFonts w:ascii="仿宋_GB2312" w:hAnsi="宋体" w:eastAsia="仿宋_GB2312"/>
          <w:bCs w:val="0"/>
          <w:color w:val="000000" w:themeColor="text1"/>
          <w:sz w:val="28"/>
          <w:szCs w:val="24"/>
          <w14:textFill>
            <w14:solidFill>
              <w14:schemeClr w14:val="tx1"/>
            </w14:solidFill>
          </w14:textFill>
        </w:rPr>
      </w:pPr>
      <w:bookmarkStart w:id="10" w:name="_Toc367699928"/>
      <w:r>
        <w:rPr>
          <w:rFonts w:hint="eastAsia" w:ascii="仿宋_GB2312" w:hAnsi="宋体" w:eastAsia="仿宋_GB2312"/>
          <w:bCs w:val="0"/>
          <w:color w:val="000000" w:themeColor="text1"/>
          <w:sz w:val="28"/>
          <w:szCs w:val="24"/>
          <w14:textFill>
            <w14:solidFill>
              <w14:schemeClr w14:val="tx1"/>
            </w14:solidFill>
          </w14:textFill>
        </w:rPr>
        <w:t xml:space="preserve"> 雨水工程规划</w:t>
      </w:r>
      <w:bookmarkEnd w:id="10"/>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规划原则</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（1）根据地形、水系的位置合理划分排水分区</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（2）雨水管道将尽可能避免穿越堤防、其它障碍物，减少与其它管线交叉。</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（3）雨水管道的布置既要考虑其水力条件、经济条件，也考虑其可实施性。</w:t>
      </w:r>
    </w:p>
    <w:p>
      <w:pPr>
        <w:spacing w:line="360" w:lineRule="auto"/>
        <w:ind w:firstLine="480" w:firstLineChars="200"/>
        <w:rPr>
          <w:rFonts w:ascii="仿宋_GB2312" w:eastAsia="仿宋_GB2312"/>
          <w:color w:val="000000" w:themeColor="text1"/>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（4）从环境效益、规模效益等综合因素规划分区。</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设计暴雨强度</w:t>
      </w:r>
    </w:p>
    <w:p>
      <w:pPr>
        <w:spacing w:line="360" w:lineRule="auto"/>
        <w:ind w:firstLine="480" w:firstLineChars="200"/>
        <w:rPr>
          <w:rFonts w:hint="eastAsia" w:ascii="仿宋_GB2312" w:hAnsi="Times New Roman" w:eastAsia="仿宋_GB2312"/>
          <w:color w:val="000000" w:themeColor="text1"/>
          <w:sz w:val="24"/>
          <w:szCs w:val="24"/>
          <w:lang w:eastAsia="zh-CN"/>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雨量计算采用</w:t>
      </w:r>
      <w:r>
        <w:rPr>
          <w:rFonts w:hint="eastAsia" w:ascii="仿宋_GB2312" w:hAnsi="Times New Roman" w:eastAsia="仿宋_GB2312"/>
          <w:color w:val="000000" w:themeColor="text1"/>
          <w:sz w:val="24"/>
          <w:szCs w:val="24"/>
          <w:lang w:val="en-US" w:eastAsia="zh-CN"/>
          <w14:textFill>
            <w14:solidFill>
              <w14:schemeClr w14:val="tx1"/>
            </w14:solidFill>
          </w14:textFill>
        </w:rPr>
        <w:t>潮州</w:t>
      </w:r>
      <w:r>
        <w:rPr>
          <w:rFonts w:hint="eastAsia" w:ascii="仿宋_GB2312" w:hAnsi="Times New Roman" w:eastAsia="仿宋_GB2312"/>
          <w:color w:val="000000" w:themeColor="text1"/>
          <w:sz w:val="24"/>
          <w:szCs w:val="24"/>
          <w14:textFill>
            <w14:solidFill>
              <w14:schemeClr w14:val="tx1"/>
            </w14:solidFill>
          </w14:textFill>
        </w:rPr>
        <w:t>市短历时暴雨强度公式</w:t>
      </w:r>
      <w:r>
        <w:rPr>
          <w:rFonts w:hint="eastAsia" w:ascii="仿宋_GB2312" w:hAnsi="Times New Roman" w:eastAsia="仿宋_GB2312"/>
          <w:color w:val="000000" w:themeColor="text1"/>
          <w:sz w:val="24"/>
          <w:szCs w:val="24"/>
          <w:lang w:eastAsia="zh-CN"/>
          <w14:textFill>
            <w14:solidFill>
              <w14:schemeClr w14:val="tx1"/>
            </w14:solidFill>
          </w14:textFill>
        </w:rPr>
        <w:t>。</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bookmarkStart w:id="11" w:name="_Toc367699932"/>
      <w:r>
        <w:rPr>
          <w:rFonts w:hint="eastAsia" w:ascii="仿宋_GB2312" w:hAnsi="宋体" w:eastAsia="仿宋_GB2312"/>
          <w:b/>
          <w:color w:val="000000" w:themeColor="text1"/>
          <w14:textFill>
            <w14:solidFill>
              <w14:schemeClr w14:val="tx1"/>
            </w14:solidFill>
          </w14:textFill>
        </w:rPr>
        <w:t>雨水管网设计</w:t>
      </w:r>
      <w:bookmarkEnd w:id="11"/>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针对规划区的地势和竖向规划等情况，规划区内雨水排水线路以短为宜，雨水排放以就近排放为主。雨水管渠管径在</w:t>
      </w:r>
      <w:r>
        <w:rPr>
          <w:rFonts w:ascii="仿宋_GB2312" w:hAnsi="Times New Roman" w:eastAsia="仿宋_GB2312"/>
          <w:color w:val="000000" w:themeColor="text1"/>
          <w:sz w:val="24"/>
          <w:szCs w:val="24"/>
          <w14:textFill>
            <w14:solidFill>
              <w14:schemeClr w14:val="tx1"/>
            </w14:solidFill>
          </w14:textFill>
        </w:rPr>
        <w:t>d600~BxH=2.0m×1.8m</w:t>
      </w:r>
      <w:r>
        <w:rPr>
          <w:rFonts w:hint="eastAsia" w:ascii="仿宋_GB2312" w:hAnsi="Times New Roman" w:eastAsia="仿宋_GB2312"/>
          <w:color w:val="000000" w:themeColor="text1"/>
          <w:sz w:val="24"/>
          <w:szCs w:val="24"/>
          <w14:textFill>
            <w14:solidFill>
              <w14:schemeClr w14:val="tx1"/>
            </w14:solidFill>
          </w14:textFill>
        </w:rPr>
        <w:t>，管道起点埋深不小于1.2m。</w:t>
      </w:r>
    </w:p>
    <w:p>
      <w:pPr>
        <w:pStyle w:val="3"/>
        <w:numPr>
          <w:ilvl w:val="0"/>
          <w:numId w:val="3"/>
        </w:numPr>
        <w:spacing w:before="312" w:beforeLines="100" w:after="156" w:afterLines="50" w:line="360" w:lineRule="auto"/>
        <w:jc w:val="center"/>
        <w:rPr>
          <w:rFonts w:ascii="仿宋_GB2312" w:hAnsi="宋体" w:eastAsia="仿宋_GB2312"/>
          <w:bCs w:val="0"/>
          <w:color w:val="000000" w:themeColor="text1"/>
          <w:sz w:val="28"/>
          <w:szCs w:val="24"/>
          <w14:textFill>
            <w14:solidFill>
              <w14:schemeClr w14:val="tx1"/>
            </w14:solidFill>
          </w14:textFill>
        </w:rPr>
      </w:pPr>
      <w:r>
        <w:rPr>
          <w:rFonts w:hint="eastAsia" w:ascii="仿宋_GB2312" w:hAnsi="宋体" w:eastAsia="仿宋_GB2312"/>
          <w:bCs w:val="0"/>
          <w:color w:val="000000" w:themeColor="text1"/>
          <w:sz w:val="28"/>
          <w:szCs w:val="24"/>
          <w14:textFill>
            <w14:solidFill>
              <w14:schemeClr w14:val="tx1"/>
            </w14:solidFill>
          </w14:textFill>
        </w:rPr>
        <w:t>电力工程规划</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中压电网规划</w:t>
      </w:r>
    </w:p>
    <w:p>
      <w:pPr>
        <w:spacing w:line="360" w:lineRule="auto"/>
        <w:ind w:firstLine="480" w:firstLineChars="200"/>
        <w:rPr>
          <w:rFonts w:hint="default" w:ascii="仿宋_GB2312" w:hAnsi="Times New Roman" w:eastAsia="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olor w:val="000000" w:themeColor="text1"/>
          <w:sz w:val="24"/>
          <w:szCs w:val="24"/>
          <w:lang w:val="en-US" w:eastAsia="zh-CN"/>
          <w14:textFill>
            <w14:solidFill>
              <w14:schemeClr w14:val="tx1"/>
            </w14:solidFill>
          </w14:textFill>
        </w:rPr>
        <w:t>规划区内采用</w:t>
      </w:r>
      <w:r>
        <w:rPr>
          <w:rFonts w:hint="eastAsia" w:ascii="仿宋_GB2312" w:hAnsi="Times New Roman" w:eastAsia="仿宋_GB2312"/>
          <w:color w:val="000000" w:themeColor="text1"/>
          <w:sz w:val="24"/>
          <w:szCs w:val="24"/>
          <w14:textFill>
            <w14:solidFill>
              <w14:schemeClr w14:val="tx1"/>
            </w14:solidFill>
          </w14:textFill>
        </w:rPr>
        <w:t>10kV</w:t>
      </w:r>
      <w:r>
        <w:rPr>
          <w:rFonts w:hint="eastAsia" w:ascii="仿宋_GB2312" w:hAnsi="Times New Roman" w:eastAsia="仿宋_GB2312"/>
          <w:color w:val="000000" w:themeColor="text1"/>
          <w:sz w:val="24"/>
          <w:szCs w:val="24"/>
          <w:lang w:val="en-US" w:eastAsia="zh-CN"/>
          <w14:textFill>
            <w14:solidFill>
              <w14:schemeClr w14:val="tx1"/>
            </w14:solidFill>
          </w14:textFill>
        </w:rPr>
        <w:t>中压配电网、220/380v低压配电网两级。可接登塘镇郑岗村变电站。</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规划区</w:t>
      </w:r>
      <w:r>
        <w:rPr>
          <w:rFonts w:hint="eastAsia" w:ascii="仿宋_GB2312" w:hAnsi="Times New Roman" w:eastAsia="仿宋_GB2312"/>
          <w:color w:val="000000" w:themeColor="text1"/>
          <w:sz w:val="24"/>
          <w:szCs w:val="24"/>
          <w:lang w:val="en-US" w:eastAsia="zh-CN"/>
          <w14:textFill>
            <w14:solidFill>
              <w14:schemeClr w14:val="tx1"/>
            </w14:solidFill>
          </w14:textFill>
        </w:rPr>
        <w:t>内有条件可</w:t>
      </w:r>
      <w:r>
        <w:rPr>
          <w:rFonts w:hint="eastAsia" w:ascii="仿宋_GB2312" w:hAnsi="Times New Roman" w:eastAsia="仿宋_GB2312"/>
          <w:color w:val="000000" w:themeColor="text1"/>
          <w:sz w:val="24"/>
          <w:szCs w:val="24"/>
          <w14:textFill>
            <w14:solidFill>
              <w14:schemeClr w14:val="tx1"/>
            </w14:solidFill>
          </w14:textFill>
        </w:rPr>
        <w:t>增设1个10kV开关房，10kV开关房的容量按0.3~1.2万kVA规模设计，根据地块负荷分布情况，选择较适中的位置而设定，宜设置于建筑物的首层或架空层，并且应考虑交通运输方便、保证供电半径、进出线便利等，同时应考虑路灯专变摆放的位置。考虑变压器的平均负荷率为0.6~0.8，开关房的建筑面积不小于100 m</w:t>
      </w:r>
      <w:r>
        <w:rPr>
          <w:rFonts w:hint="eastAsia" w:ascii="仿宋_GB2312" w:hAnsi="Times New Roman" w:eastAsia="仿宋_GB2312"/>
          <w:color w:val="000000" w:themeColor="text1"/>
          <w:sz w:val="24"/>
          <w:szCs w:val="24"/>
          <w:vertAlign w:val="superscript"/>
          <w14:textFill>
            <w14:solidFill>
              <w14:schemeClr w14:val="tx1"/>
            </w14:solidFill>
          </w14:textFill>
        </w:rPr>
        <w:t>2</w:t>
      </w:r>
      <w:r>
        <w:rPr>
          <w:rFonts w:hint="eastAsia" w:ascii="仿宋_GB2312" w:hAnsi="Times New Roman" w:eastAsia="仿宋_GB2312"/>
          <w:color w:val="000000" w:themeColor="text1"/>
          <w:sz w:val="24"/>
          <w:szCs w:val="24"/>
          <w14:textFill>
            <w14:solidFill>
              <w14:schemeClr w14:val="tx1"/>
            </w14:solidFill>
          </w14:textFill>
        </w:rPr>
        <w:t>。</w:t>
      </w:r>
    </w:p>
    <w:p>
      <w:pPr>
        <w:pStyle w:val="3"/>
        <w:numPr>
          <w:ilvl w:val="0"/>
          <w:numId w:val="3"/>
        </w:numPr>
        <w:spacing w:before="312" w:beforeLines="100" w:after="156" w:afterLines="50" w:line="360" w:lineRule="auto"/>
        <w:jc w:val="center"/>
        <w:rPr>
          <w:rFonts w:ascii="仿宋_GB2312" w:hAnsi="宋体" w:eastAsia="仿宋_GB2312"/>
          <w:bCs w:val="0"/>
          <w:color w:val="000000" w:themeColor="text1"/>
          <w:sz w:val="28"/>
          <w:szCs w:val="24"/>
          <w14:textFill>
            <w14:solidFill>
              <w14:schemeClr w14:val="tx1"/>
            </w14:solidFill>
          </w14:textFill>
        </w:rPr>
      </w:pPr>
      <w:r>
        <w:rPr>
          <w:rFonts w:hint="eastAsia" w:ascii="仿宋_GB2312" w:hAnsi="宋体" w:eastAsia="仿宋_GB2312"/>
          <w:bCs w:val="0"/>
          <w:color w:val="000000" w:themeColor="text1"/>
          <w:sz w:val="28"/>
          <w:szCs w:val="24"/>
          <w14:textFill>
            <w14:solidFill>
              <w14:schemeClr w14:val="tx1"/>
            </w14:solidFill>
          </w14:textFill>
        </w:rPr>
        <w:t>通信工程规划</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通信线路共建共享规划</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为减少重复建设，提高通信传输线路利用率，推动规划区内通信传输线路共建共享工作，统一、规范通信传输线路共建共享规划、设计、验收和维护。</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共建共享线路路由的选择应满足通信网络规划，并应结合水文、气象、地理、地形、地质、地震、交通、城市规划、土地利用、名胜古迹、电磁环境、环境保护、投资效益等因素综合比较选定，线路建设应考虑保护当地文物、自然水系、湿地、基本农田、森林和其他保护区。</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传输线路共建共享各方应在各自提出的共建共享需求的基础上进行分析、协商、形成并确认共建共享规划方案，以保证共建共享的传输线路能够最大程度的满足共建共享各方的需求。</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传输线路的共建共享规划应充分考虑各方的网络、业务安全、发展容量和维护等级因素。</w:t>
      </w:r>
    </w:p>
    <w:p>
      <w:pPr>
        <w:bidi w:val="0"/>
        <w:rPr>
          <w:lang w:eastAsia="zh-CN"/>
        </w:rPr>
      </w:pPr>
      <w:r>
        <w:rPr>
          <w:lang w:eastAsia="zh-CN"/>
        </w:rPr>
        <w:br w:type="page"/>
      </w:r>
    </w:p>
    <w:p>
      <w:pPr>
        <w:pStyle w:val="2"/>
        <w:spacing w:before="120" w:after="480" w:line="360" w:lineRule="auto"/>
        <w:jc w:val="center"/>
        <w:rPr>
          <w:rFonts w:ascii="仿宋_GB2312" w:hAnsi="Times New Roman" w:eastAsia="仿宋_GB2312"/>
          <w:sz w:val="32"/>
          <w:szCs w:val="32"/>
          <w:lang w:eastAsia="zh-CN"/>
        </w:rPr>
      </w:pPr>
      <w:bookmarkStart w:id="12" w:name="_Toc30052"/>
      <w:r>
        <w:rPr>
          <w:rFonts w:hint="eastAsia" w:ascii="仿宋_GB2312" w:hAnsi="Times New Roman" w:eastAsia="仿宋_GB2312"/>
          <w:sz w:val="32"/>
          <w:szCs w:val="32"/>
          <w:lang w:eastAsia="zh-CN"/>
        </w:rPr>
        <w:t>第</w:t>
      </w:r>
      <w:r>
        <w:rPr>
          <w:rFonts w:hint="eastAsia" w:ascii="仿宋_GB2312" w:hAnsi="Times New Roman" w:eastAsia="仿宋_GB2312"/>
          <w:sz w:val="32"/>
          <w:szCs w:val="32"/>
          <w:lang w:val="en-US" w:eastAsia="zh-CN"/>
        </w:rPr>
        <w:t>六</w:t>
      </w:r>
      <w:r>
        <w:rPr>
          <w:rFonts w:hint="eastAsia" w:ascii="仿宋_GB2312" w:hAnsi="Times New Roman" w:eastAsia="仿宋_GB2312"/>
          <w:sz w:val="32"/>
          <w:szCs w:val="32"/>
          <w:lang w:eastAsia="zh-CN"/>
        </w:rPr>
        <w:t xml:space="preserve">章 </w:t>
      </w:r>
      <w:r>
        <w:rPr>
          <w:rFonts w:hint="eastAsia" w:ascii="仿宋_GB2312" w:hAnsi="Times New Roman" w:eastAsia="仿宋_GB2312"/>
          <w:sz w:val="32"/>
          <w:szCs w:val="32"/>
        </w:rPr>
        <w:t>综合防灾规划</w:t>
      </w:r>
      <w:bookmarkEnd w:id="12"/>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按照“平战结合、平灾结合、预防为主、措施有效”的原则，既考虑工程性措施、非工程性对策，又充分考虑灾前防灾、灾时与灾后减灾措施。</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防震减灾规划</w:t>
      </w:r>
    </w:p>
    <w:p>
      <w:pPr>
        <w:spacing w:line="360" w:lineRule="auto"/>
        <w:ind w:firstLine="480" w:firstLineChars="200"/>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eastAsia="zh-CN"/>
        </w:rPr>
        <w:t>（</w:t>
      </w:r>
      <w:r>
        <w:rPr>
          <w:rFonts w:hint="eastAsia" w:ascii="仿宋_GB2312" w:hAnsi="Times New Roman" w:eastAsia="仿宋_GB2312"/>
          <w:sz w:val="24"/>
          <w:szCs w:val="24"/>
          <w:lang w:val="en-US" w:eastAsia="zh-CN"/>
        </w:rPr>
        <w:t>1</w:t>
      </w:r>
      <w:r>
        <w:rPr>
          <w:rFonts w:hint="eastAsia" w:ascii="仿宋_GB2312" w:hAnsi="Times New Roman" w:eastAsia="仿宋_GB2312"/>
          <w:sz w:val="24"/>
          <w:szCs w:val="24"/>
          <w:lang w:eastAsia="zh-CN"/>
        </w:rPr>
        <w:t>）</w:t>
      </w:r>
      <w:r>
        <w:rPr>
          <w:rFonts w:hint="eastAsia" w:ascii="仿宋_GB2312" w:hAnsi="Times New Roman" w:eastAsia="仿宋_GB2312"/>
          <w:sz w:val="24"/>
          <w:szCs w:val="24"/>
          <w:lang w:val="en-US" w:eastAsia="zh-CN"/>
        </w:rPr>
        <w:t>设防标准</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《建筑抗震设计规范》（GB50011-2010）把潮安区划为地震基本烈度 8 度区，设计基本地震加速度值为 0.20g。规划期内，本镇一般建筑项目按抗震设防烈度等级 8 度设防，重点工程需按 9 度或地32震评估结论设防。</w:t>
      </w:r>
    </w:p>
    <w:p>
      <w:pPr>
        <w:spacing w:line="360" w:lineRule="auto"/>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（2）防震抗震措施</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根据建筑的具体防震抗震要求，公共建筑、楼房住宅、工业厂房要采取有效措施，尽量采用桩基础框架结构，以提高抗震能力；重要的建设工程要做好地震预防评价工作。结合新建或改建建筑留出空旷疏散用地。</w:t>
      </w:r>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lang w:val="en-US" w:eastAsia="zh-CN"/>
        </w:rPr>
        <w:t>防洪、排涝</w:t>
      </w:r>
      <w:r>
        <w:rPr>
          <w:rFonts w:hint="eastAsia" w:ascii="仿宋_GB2312" w:eastAsia="仿宋_GB2312" w:cs="Times New Roman"/>
          <w:b/>
        </w:rPr>
        <w:t>规划</w:t>
      </w:r>
    </w:p>
    <w:p>
      <w:pPr>
        <w:spacing w:line="360" w:lineRule="auto"/>
        <w:ind w:firstLine="480" w:firstLineChars="200"/>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eastAsia="zh-CN"/>
        </w:rPr>
        <w:t>（</w:t>
      </w:r>
      <w:r>
        <w:rPr>
          <w:rFonts w:hint="eastAsia" w:ascii="仿宋_GB2312" w:hAnsi="Times New Roman" w:eastAsia="仿宋_GB2312"/>
          <w:sz w:val="24"/>
          <w:szCs w:val="24"/>
          <w:lang w:val="en-US" w:eastAsia="zh-CN"/>
        </w:rPr>
        <w:t>1</w:t>
      </w:r>
      <w:r>
        <w:rPr>
          <w:rFonts w:hint="eastAsia" w:ascii="仿宋_GB2312" w:hAnsi="Times New Roman" w:eastAsia="仿宋_GB2312"/>
          <w:sz w:val="24"/>
          <w:szCs w:val="24"/>
          <w:lang w:eastAsia="zh-CN"/>
        </w:rPr>
        <w:t>）</w:t>
      </w:r>
      <w:r>
        <w:rPr>
          <w:rFonts w:hint="eastAsia" w:ascii="仿宋_GB2312" w:hAnsi="Times New Roman" w:eastAsia="仿宋_GB2312"/>
          <w:sz w:val="24"/>
          <w:szCs w:val="24"/>
          <w:lang w:val="en-US" w:eastAsia="zh-CN"/>
        </w:rPr>
        <w:t>防洪与排涝标准</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规划要求防患于未然，做好各种防范措施，尽量把自然灾害造成的损失减少到最低限度。规划片区建设按30年一遇洪水标准设防。</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排涝工程建设是基础设施建设的重要组成部分，主要设施是排水管网，因此排水管网必须完善。治涝标准按省定的涝区 10 年一遇24 小时暴雨所产生的径流量 1—3 天排干至设计水位，即集镇、工业基地、菜地和“三高”农业生产用地 1 天排干，鱼塘区 2 天排干，农田三天排干。</w:t>
      </w:r>
    </w:p>
    <w:p>
      <w:pPr>
        <w:spacing w:line="360" w:lineRule="auto"/>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（2）规划措施</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1</w:t>
      </w:r>
      <w:r>
        <w:rPr>
          <w:rFonts w:hint="eastAsia" w:ascii="仿宋_GB2312" w:hAnsi="Times New Roman" w:eastAsia="仿宋_GB2312"/>
          <w:sz w:val="24"/>
          <w:szCs w:val="24"/>
          <w:lang w:val="en-US" w:eastAsia="zh-CN"/>
        </w:rPr>
        <w:t>）</w:t>
      </w:r>
      <w:r>
        <w:rPr>
          <w:rFonts w:hint="default" w:ascii="仿宋_GB2312" w:hAnsi="Times New Roman" w:eastAsia="仿宋_GB2312"/>
          <w:sz w:val="24"/>
          <w:szCs w:val="24"/>
          <w:lang w:val="en-US" w:eastAsia="zh-CN"/>
        </w:rPr>
        <w:t>工程措施</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规划期提高防洪排涝能力的重点放在以下三个方面：</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①加强水土保持工作，严格制止破坏水土的行为，杜绝乱挖乱</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开采；</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②充实排涝设施，提高防洪抗险能力。</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2</w:t>
      </w:r>
      <w:r>
        <w:rPr>
          <w:rFonts w:hint="eastAsia" w:ascii="仿宋_GB2312" w:hAnsi="Times New Roman" w:eastAsia="仿宋_GB2312"/>
          <w:sz w:val="24"/>
          <w:szCs w:val="24"/>
          <w:lang w:val="en-US" w:eastAsia="zh-CN"/>
        </w:rPr>
        <w:t>）</w:t>
      </w:r>
      <w:r>
        <w:rPr>
          <w:rFonts w:hint="default" w:ascii="仿宋_GB2312" w:hAnsi="Times New Roman" w:eastAsia="仿宋_GB2312"/>
          <w:sz w:val="24"/>
          <w:szCs w:val="24"/>
          <w:lang w:val="en-US" w:eastAsia="zh-CN"/>
        </w:rPr>
        <w:t>非工程措施</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① 禁止侵占河道的行为，严禁往河道倾倒垃圾；</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② 落实水利建设资金，重视水利建设；</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③加强宣传教育，提高全民防险意识。</w:t>
      </w:r>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lang w:val="en-US" w:eastAsia="zh-CN"/>
        </w:rPr>
        <w:t>消防</w:t>
      </w:r>
      <w:r>
        <w:rPr>
          <w:rFonts w:hint="eastAsia" w:ascii="仿宋_GB2312" w:eastAsia="仿宋_GB2312" w:cs="Times New Roman"/>
          <w:b/>
        </w:rPr>
        <w:t>规划</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lang w:val="en-US" w:eastAsia="zh-CN"/>
        </w:rPr>
        <w:t>规划区内</w:t>
      </w:r>
      <w:r>
        <w:rPr>
          <w:rFonts w:hint="eastAsia" w:ascii="仿宋_GB2312" w:hAnsi="Times New Roman" w:eastAsia="仿宋_GB2312"/>
          <w:sz w:val="24"/>
          <w:szCs w:val="24"/>
        </w:rPr>
        <w:t>严格执行“预防为主、防消结合”的消防工作方针和“以人为本、科学实用、技术先进、经济合理”原则，应从火灾预防、灭火救援等方面满足建设发展的安全需要。</w:t>
      </w:r>
    </w:p>
    <w:p>
      <w:pPr>
        <w:numPr>
          <w:ilvl w:val="0"/>
          <w:numId w:val="4"/>
        </w:numPr>
        <w:spacing w:line="360" w:lineRule="auto"/>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消防供水</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消防供水必须采用环状供水，形成主、干环网，在供水规划中，应保证总用水量的 5％为消防用水。室外消防用水采用低压制消火栓形式，消防给水管径不小于 100毫米，消火栓沿规划道路、尽量靠近道路交叉路口布设，布置在主要道路上的消火栓间距不超过 120 米。</w:t>
      </w:r>
    </w:p>
    <w:p>
      <w:pPr>
        <w:numPr>
          <w:ilvl w:val="0"/>
          <w:numId w:val="4"/>
        </w:numPr>
        <w:spacing w:line="360" w:lineRule="auto"/>
        <w:ind w:left="0" w:leftChars="0"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消防通道</w:t>
      </w:r>
    </w:p>
    <w:p>
      <w:pPr>
        <w:spacing w:line="360" w:lineRule="auto"/>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规划区内的道路设计，必须考虑消防方面的要求，当建筑物沿街部分长度超过 150 米或者总长度超过 220 米时，应设穿过建筑物的消防车道；沿街建筑物应设连接街道和内院的通道，其间距不大33于 80 米（可结合楼梯间设置）；建筑物开设的消防车道、净高与净宽均应大于或等于 4 米；消防道路宽度应大于 4 米，净空高度不应小于 4 米；尽端式消防道的回车场尺度应大于等于 18 米×18 米；高层建筑宜设环形消防车道或沿两长边设消防车道。</w:t>
      </w:r>
    </w:p>
    <w:p>
      <w:pPr>
        <w:numPr>
          <w:ilvl w:val="0"/>
          <w:numId w:val="4"/>
        </w:numPr>
        <w:spacing w:line="360" w:lineRule="auto"/>
        <w:ind w:left="0" w:leftChars="0" w:firstLine="480" w:firstLineChars="200"/>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消防安全布局</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建筑防火间距应严格按《建筑设计防火规范》（GB 50016-2014）中的具体要求来执行；建筑物、建筑构筑物以一、二级耐火等级为主，控制三级建筑，禁止四级建筑，不准易燃简易搭盖；消防设施配备应与具体建设行为相同步，并同时验收；新建大楼必须按规定设置消防箱，完善室内场所、附属设施的自防、自救能力；高层建筑的周围，应设环形消防车道。当设环形车道有困难时，可沿高层建筑的两个长边设置消防车道，当建筑的沿街长度超过 150 米或总长度超过 220 米时，应在适中位置设置穿过建筑的消防车道。</w:t>
      </w:r>
    </w:p>
    <w:p>
      <w:pPr>
        <w:numPr>
          <w:ilvl w:val="0"/>
          <w:numId w:val="0"/>
        </w:numPr>
        <w:spacing w:line="360" w:lineRule="auto"/>
        <w:rPr>
          <w:rFonts w:hint="default" w:ascii="仿宋_GB2312" w:hAnsi="Times New Roman" w:eastAsia="仿宋_GB2312"/>
          <w:sz w:val="24"/>
          <w:szCs w:val="24"/>
          <w:lang w:val="en-US" w:eastAsia="zh-CN"/>
        </w:rPr>
      </w:pPr>
    </w:p>
    <w:p>
      <w:pPr>
        <w:bidi w:val="0"/>
        <w:rPr>
          <w:lang w:eastAsia="zh-CN"/>
        </w:rPr>
      </w:pPr>
      <w:r>
        <w:rPr>
          <w:lang w:eastAsia="zh-CN"/>
        </w:rPr>
        <w:br w:type="page"/>
      </w:r>
    </w:p>
    <w:p>
      <w:pPr>
        <w:pStyle w:val="2"/>
        <w:spacing w:before="120" w:after="480" w:line="360" w:lineRule="auto"/>
        <w:jc w:val="center"/>
        <w:rPr>
          <w:rFonts w:ascii="仿宋_GB2312" w:hAnsi="Times New Roman" w:eastAsia="仿宋_GB2312"/>
          <w:sz w:val="32"/>
          <w:szCs w:val="32"/>
          <w:lang w:eastAsia="zh-CN"/>
        </w:rPr>
      </w:pPr>
      <w:bookmarkStart w:id="13" w:name="_Toc16733"/>
      <w:r>
        <w:rPr>
          <w:rFonts w:hint="eastAsia" w:ascii="仿宋_GB2312" w:hAnsi="Times New Roman" w:eastAsia="仿宋_GB2312"/>
          <w:sz w:val="32"/>
          <w:szCs w:val="32"/>
          <w:lang w:eastAsia="zh-CN"/>
        </w:rPr>
        <w:t>第</w:t>
      </w:r>
      <w:r>
        <w:rPr>
          <w:rFonts w:hint="eastAsia" w:ascii="仿宋_GB2312" w:hAnsi="Times New Roman" w:eastAsia="仿宋_GB2312"/>
          <w:sz w:val="32"/>
          <w:szCs w:val="32"/>
          <w:lang w:val="en-US" w:eastAsia="zh-CN"/>
        </w:rPr>
        <w:t>七</w:t>
      </w:r>
      <w:r>
        <w:rPr>
          <w:rFonts w:hint="eastAsia" w:ascii="仿宋_GB2312" w:hAnsi="Times New Roman" w:eastAsia="仿宋_GB2312"/>
          <w:sz w:val="32"/>
          <w:szCs w:val="32"/>
          <w:lang w:eastAsia="zh-CN"/>
        </w:rPr>
        <w:t xml:space="preserve">章 </w:t>
      </w:r>
      <w:r>
        <w:rPr>
          <w:rFonts w:hint="eastAsia" w:ascii="仿宋_GB2312" w:hAnsi="Times New Roman" w:eastAsia="仿宋_GB2312"/>
          <w:sz w:val="32"/>
          <w:szCs w:val="32"/>
        </w:rPr>
        <w:t>环境保护规划</w:t>
      </w:r>
      <w:bookmarkEnd w:id="13"/>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rPr>
        <w:t>规划原则</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坚持社会经济发展和生态环境保护并重原则，坚持生态系统整体优化原则，坚持分区控制，分类指导原则，坚持统筹兼顾、实事求是、因地制宜原则，坚持环境容量、生态承载力有限原则。</w:t>
      </w:r>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rPr>
        <w:t>大气保护规划</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规划区范围内整体为环境空气功能区二类区，按照环境空气功能区二类区进行管理。</w:t>
      </w:r>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rPr>
        <w:t>水体环境保护规划</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规划区内的河流按照《地表水环境质量标准》（GB3838-2002）的地表水Ⅱ类功能区控制。</w:t>
      </w:r>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rPr>
        <w:t>声环境控制规划</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根据《声环境质量标准》（GB3096-2008），结合土地利用规划，划分以下两类声环境功能区域：</w:t>
      </w:r>
    </w:p>
    <w:p>
      <w:pPr>
        <w:spacing w:line="360" w:lineRule="auto"/>
        <w:ind w:firstLine="480" w:firstLineChars="200"/>
        <w:jc w:val="center"/>
        <w:rPr>
          <w:rFonts w:ascii="仿宋_GB2312" w:eastAsia="仿宋_GB2312" w:hAnsiTheme="minorEastAsia"/>
          <w:sz w:val="24"/>
        </w:rPr>
      </w:pPr>
      <w:r>
        <w:rPr>
          <w:rFonts w:hint="eastAsia" w:ascii="仿宋_GB2312" w:eastAsia="仿宋_GB2312" w:hAnsiTheme="minorEastAsia"/>
          <w:sz w:val="24"/>
        </w:rPr>
        <w:t>表</w:t>
      </w:r>
      <w:r>
        <w:rPr>
          <w:rFonts w:hint="eastAsia" w:ascii="仿宋_GB2312" w:eastAsia="仿宋_GB2312" w:hAnsiTheme="minorEastAsia"/>
          <w:sz w:val="24"/>
          <w:lang w:val="en-US" w:eastAsia="zh-CN"/>
        </w:rPr>
        <w:t>7</w:t>
      </w:r>
      <w:r>
        <w:rPr>
          <w:rFonts w:hint="eastAsia" w:ascii="仿宋_GB2312" w:eastAsia="仿宋_GB2312" w:hAnsiTheme="minorEastAsia"/>
          <w:sz w:val="24"/>
        </w:rPr>
        <w:t>-1：声环境功能区划</w:t>
      </w:r>
    </w:p>
    <w:tbl>
      <w:tblPr>
        <w:tblStyle w:val="8"/>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524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300" w:lineRule="auto"/>
              <w:jc w:val="center"/>
              <w:rPr>
                <w:rFonts w:ascii="仿宋_GB2312" w:eastAsia="仿宋_GB2312"/>
                <w:b/>
                <w:bCs/>
                <w:szCs w:val="21"/>
              </w:rPr>
            </w:pPr>
            <w:r>
              <w:rPr>
                <w:rFonts w:hint="eastAsia" w:ascii="仿宋_GB2312" w:hAnsi="宋体" w:eastAsia="仿宋_GB2312"/>
                <w:b/>
                <w:bCs/>
                <w:szCs w:val="21"/>
              </w:rPr>
              <w:t>类别</w:t>
            </w:r>
          </w:p>
        </w:tc>
        <w:tc>
          <w:tcPr>
            <w:tcW w:w="5244" w:type="dxa"/>
          </w:tcPr>
          <w:p>
            <w:pPr>
              <w:spacing w:line="300" w:lineRule="auto"/>
              <w:jc w:val="center"/>
              <w:rPr>
                <w:rFonts w:ascii="仿宋_GB2312" w:eastAsia="仿宋_GB2312"/>
                <w:b/>
                <w:bCs/>
                <w:szCs w:val="21"/>
              </w:rPr>
            </w:pPr>
            <w:r>
              <w:rPr>
                <w:rFonts w:hint="eastAsia" w:ascii="仿宋_GB2312" w:hAnsi="宋体" w:eastAsia="仿宋_GB2312"/>
                <w:b/>
                <w:bCs/>
                <w:szCs w:val="21"/>
              </w:rPr>
              <w:t>适用区域</w:t>
            </w:r>
          </w:p>
        </w:tc>
        <w:tc>
          <w:tcPr>
            <w:tcW w:w="2102" w:type="dxa"/>
          </w:tcPr>
          <w:p>
            <w:pPr>
              <w:spacing w:line="300" w:lineRule="auto"/>
              <w:jc w:val="center"/>
              <w:rPr>
                <w:rFonts w:ascii="仿宋_GB2312" w:eastAsia="仿宋_GB2312"/>
                <w:b/>
                <w:bCs/>
                <w:szCs w:val="21"/>
              </w:rPr>
            </w:pPr>
            <w:r>
              <w:rPr>
                <w:rFonts w:hint="eastAsia" w:ascii="仿宋_GB2312" w:hAnsi="宋体" w:eastAsia="仿宋_GB2312"/>
                <w:b/>
                <w:bCs/>
                <w:szCs w:val="21"/>
              </w:rPr>
              <w:t>噪声标准值（</w:t>
            </w:r>
            <w:r>
              <w:rPr>
                <w:rFonts w:hint="eastAsia" w:ascii="仿宋_GB2312" w:eastAsia="仿宋_GB2312"/>
                <w:b/>
                <w:bCs/>
                <w:szCs w:val="21"/>
              </w:rPr>
              <w:t>dB</w:t>
            </w:r>
            <w:r>
              <w:rPr>
                <w:rFonts w:hint="eastAsia" w:ascii="仿宋_GB2312" w:hAnsi="宋体" w:eastAsia="仿宋_GB2312"/>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00" w:lineRule="auto"/>
              <w:jc w:val="center"/>
              <w:rPr>
                <w:rFonts w:ascii="仿宋_GB2312" w:eastAsia="仿宋_GB2312"/>
                <w:bCs/>
                <w:szCs w:val="21"/>
              </w:rPr>
            </w:pPr>
            <w:r>
              <w:rPr>
                <w:rFonts w:hint="eastAsia" w:ascii="仿宋_GB2312" w:eastAsia="仿宋_GB2312"/>
                <w:bCs/>
                <w:szCs w:val="21"/>
                <w:lang w:val="en-US" w:eastAsia="zh-CN"/>
              </w:rPr>
              <w:t>3</w:t>
            </w:r>
            <w:r>
              <w:rPr>
                <w:rFonts w:hint="eastAsia" w:ascii="仿宋_GB2312" w:hAnsi="宋体" w:eastAsia="仿宋_GB2312"/>
                <w:bCs/>
                <w:szCs w:val="21"/>
              </w:rPr>
              <w:t>类声环境功能区</w:t>
            </w:r>
          </w:p>
        </w:tc>
        <w:tc>
          <w:tcPr>
            <w:tcW w:w="5244" w:type="dxa"/>
            <w:vAlign w:val="center"/>
          </w:tcPr>
          <w:p>
            <w:pPr>
              <w:spacing w:line="300" w:lineRule="auto"/>
              <w:jc w:val="center"/>
              <w:rPr>
                <w:rFonts w:ascii="仿宋_GB2312" w:eastAsia="仿宋_GB2312"/>
                <w:szCs w:val="21"/>
              </w:rPr>
            </w:pPr>
            <w:r>
              <w:rPr>
                <w:rFonts w:hint="eastAsia" w:ascii="仿宋_GB2312" w:hAnsi="宋体" w:eastAsia="仿宋_GB2312"/>
                <w:szCs w:val="21"/>
              </w:rPr>
              <w:t>指以</w:t>
            </w:r>
            <w:r>
              <w:rPr>
                <w:rFonts w:hint="eastAsia" w:ascii="仿宋_GB2312" w:hAnsi="宋体" w:eastAsia="仿宋_GB2312"/>
                <w:szCs w:val="21"/>
                <w:lang w:val="en-US" w:eastAsia="zh-CN"/>
              </w:rPr>
              <w:t>工业生产、仓储物流为主要功能</w:t>
            </w:r>
            <w:r>
              <w:rPr>
                <w:rFonts w:hint="eastAsia" w:ascii="仿宋_GB2312" w:hAnsi="宋体" w:eastAsia="仿宋_GB2312"/>
                <w:szCs w:val="21"/>
              </w:rPr>
              <w:t>，需要</w:t>
            </w:r>
            <w:r>
              <w:rPr>
                <w:rFonts w:hint="eastAsia" w:ascii="仿宋_GB2312" w:hAnsi="宋体" w:eastAsia="仿宋_GB2312"/>
                <w:szCs w:val="21"/>
                <w:lang w:val="en-US" w:eastAsia="zh-CN"/>
              </w:rPr>
              <w:t>防止工业噪声对周围环境产生严重影响</w:t>
            </w:r>
            <w:r>
              <w:rPr>
                <w:rFonts w:hint="eastAsia" w:ascii="仿宋_GB2312" w:hAnsi="宋体" w:eastAsia="仿宋_GB2312"/>
                <w:szCs w:val="21"/>
              </w:rPr>
              <w:t>的区域。</w:t>
            </w:r>
          </w:p>
        </w:tc>
        <w:tc>
          <w:tcPr>
            <w:tcW w:w="2102" w:type="dxa"/>
            <w:vAlign w:val="center"/>
          </w:tcPr>
          <w:p>
            <w:pPr>
              <w:spacing w:line="300" w:lineRule="auto"/>
              <w:jc w:val="center"/>
              <w:rPr>
                <w:rFonts w:hint="eastAsia" w:ascii="仿宋_GB2312" w:eastAsia="仿宋_GB2312"/>
                <w:bCs/>
                <w:szCs w:val="21"/>
                <w:lang w:eastAsia="zh-CN"/>
              </w:rPr>
            </w:pPr>
            <w:r>
              <w:rPr>
                <w:rFonts w:hint="eastAsia" w:ascii="仿宋_GB2312" w:eastAsia="仿宋_GB2312"/>
                <w:bCs/>
                <w:szCs w:val="21"/>
                <w:lang w:val="en-US" w:eastAsia="zh-CN"/>
              </w:rPr>
              <w:t>65</w:t>
            </w:r>
            <w:r>
              <w:rPr>
                <w:rFonts w:hint="eastAsia" w:ascii="仿宋_GB2312" w:eastAsia="仿宋_GB2312"/>
                <w:bCs/>
                <w:szCs w:val="21"/>
              </w:rPr>
              <w:t>/5</w:t>
            </w:r>
            <w:r>
              <w:rPr>
                <w:rFonts w:hint="eastAsia" w:ascii="仿宋_GB2312" w:eastAsia="仿宋_GB2312"/>
                <w:bCs/>
                <w:szCs w:val="21"/>
                <w:lang w:val="en-US" w:eastAsia="zh-CN"/>
              </w:rPr>
              <w:t>5</w:t>
            </w:r>
          </w:p>
        </w:tc>
      </w:tr>
    </w:tbl>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STFangsong">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815900"/>
      <w:docPartObj>
        <w:docPartGallery w:val="autotext"/>
      </w:docPartObj>
    </w:sdtPr>
    <w:sdtContent>
      <w:p>
        <w:pPr>
          <w:pStyle w:val="5"/>
          <w:jc w:val="center"/>
        </w:pPr>
        <w:r>
          <w:fldChar w:fldCharType="begin"/>
        </w:r>
        <w:r>
          <w:instrText xml:space="preserve">PAGE   \* MERGEFORMAT</w:instrText>
        </w:r>
        <w:r>
          <w:fldChar w:fldCharType="separate"/>
        </w:r>
        <w:r>
          <w:rPr>
            <w:lang w:val="zh-CN"/>
          </w:rPr>
          <w:t>I</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3101588"/>
      <w:docPartObj>
        <w:docPartGallery w:val="autotext"/>
      </w:docPartObj>
    </w:sdtPr>
    <w:sdtContent>
      <w:p>
        <w:pPr>
          <w:pStyle w:val="5"/>
          <w:jc w:val="center"/>
        </w:pPr>
        <w:r>
          <w:fldChar w:fldCharType="begin"/>
        </w:r>
        <w:r>
          <w:instrText xml:space="preserve">PAGE   \* MERGEFORMAT</w:instrText>
        </w:r>
        <w:r>
          <w:fldChar w:fldCharType="separate"/>
        </w:r>
        <w:r>
          <w:rPr>
            <w:lang w:val="zh-CN"/>
          </w:rPr>
          <w:t>17</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t>潮安区登塘镇“三旧”改造DT021地块控制性详细规划</w:t>
    </w:r>
    <w:r>
      <w:t xml:space="preserve">           </w:t>
    </w:r>
    <w:r>
      <w:tab/>
    </w:r>
    <w:r>
      <w:rPr>
        <w:rFonts w:hint="eastAsia"/>
      </w:rPr>
      <w:t>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E5002"/>
    <w:multiLevelType w:val="singleLevel"/>
    <w:tmpl w:val="93CE5002"/>
    <w:lvl w:ilvl="0" w:tentative="0">
      <w:start w:val="1"/>
      <w:numFmt w:val="decimal"/>
      <w:suff w:val="nothing"/>
      <w:lvlText w:val="（%1）"/>
      <w:lvlJc w:val="left"/>
    </w:lvl>
  </w:abstractNum>
  <w:abstractNum w:abstractNumId="1">
    <w:nsid w:val="03CF599F"/>
    <w:multiLevelType w:val="multilevel"/>
    <w:tmpl w:val="03CF599F"/>
    <w:lvl w:ilvl="0" w:tentative="0">
      <w:start w:val="1"/>
      <w:numFmt w:val="chineseCountingThousand"/>
      <w:lvlText w:val="第%1条"/>
      <w:lvlJc w:val="left"/>
      <w:pPr>
        <w:ind w:left="846"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C5C3B3"/>
    <w:multiLevelType w:val="singleLevel"/>
    <w:tmpl w:val="45C5C3B3"/>
    <w:lvl w:ilvl="0" w:tentative="0">
      <w:start w:val="2"/>
      <w:numFmt w:val="decimal"/>
      <w:suff w:val="nothing"/>
      <w:lvlText w:val="（%1）"/>
      <w:lvlJc w:val="left"/>
    </w:lvl>
  </w:abstractNum>
  <w:abstractNum w:abstractNumId="3">
    <w:nsid w:val="593CAEA8"/>
    <w:multiLevelType w:val="singleLevel"/>
    <w:tmpl w:val="593CAEA8"/>
    <w:lvl w:ilvl="0" w:tentative="0">
      <w:start w:val="4"/>
      <w:numFmt w:val="chineseCounting"/>
      <w:suff w:val="space"/>
      <w:lvlText w:val="第%1节"/>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DD"/>
    <w:rsid w:val="00005BE9"/>
    <w:rsid w:val="000235BB"/>
    <w:rsid w:val="00063B14"/>
    <w:rsid w:val="00086A68"/>
    <w:rsid w:val="000871B0"/>
    <w:rsid w:val="00093241"/>
    <w:rsid w:val="000B1792"/>
    <w:rsid w:val="000B6CB4"/>
    <w:rsid w:val="000C7782"/>
    <w:rsid w:val="000D2B24"/>
    <w:rsid w:val="000F5963"/>
    <w:rsid w:val="00100351"/>
    <w:rsid w:val="001031C7"/>
    <w:rsid w:val="0011584B"/>
    <w:rsid w:val="00170E3E"/>
    <w:rsid w:val="001743AC"/>
    <w:rsid w:val="00187D47"/>
    <w:rsid w:val="00196DF7"/>
    <w:rsid w:val="00197FE1"/>
    <w:rsid w:val="001A100D"/>
    <w:rsid w:val="001A2762"/>
    <w:rsid w:val="001A4B1D"/>
    <w:rsid w:val="001B2C97"/>
    <w:rsid w:val="001B5EF2"/>
    <w:rsid w:val="001D7EA1"/>
    <w:rsid w:val="001E4134"/>
    <w:rsid w:val="001E7242"/>
    <w:rsid w:val="001F236A"/>
    <w:rsid w:val="002069A2"/>
    <w:rsid w:val="00211DFF"/>
    <w:rsid w:val="00220965"/>
    <w:rsid w:val="0022415D"/>
    <w:rsid w:val="00232BF7"/>
    <w:rsid w:val="00236640"/>
    <w:rsid w:val="00236D36"/>
    <w:rsid w:val="002753AF"/>
    <w:rsid w:val="00285255"/>
    <w:rsid w:val="00290A9A"/>
    <w:rsid w:val="00292E4B"/>
    <w:rsid w:val="00293A3A"/>
    <w:rsid w:val="00297454"/>
    <w:rsid w:val="00297DC2"/>
    <w:rsid w:val="002A36F8"/>
    <w:rsid w:val="002A5C19"/>
    <w:rsid w:val="002B14C6"/>
    <w:rsid w:val="002B28FA"/>
    <w:rsid w:val="002D059D"/>
    <w:rsid w:val="002D4F57"/>
    <w:rsid w:val="002E3110"/>
    <w:rsid w:val="002F621D"/>
    <w:rsid w:val="00304A8D"/>
    <w:rsid w:val="003078AC"/>
    <w:rsid w:val="003138C3"/>
    <w:rsid w:val="00315105"/>
    <w:rsid w:val="00316A5F"/>
    <w:rsid w:val="003315A1"/>
    <w:rsid w:val="003361E5"/>
    <w:rsid w:val="00344F10"/>
    <w:rsid w:val="0034756E"/>
    <w:rsid w:val="00363AB5"/>
    <w:rsid w:val="0036666A"/>
    <w:rsid w:val="00380758"/>
    <w:rsid w:val="00380D49"/>
    <w:rsid w:val="00397429"/>
    <w:rsid w:val="003A497C"/>
    <w:rsid w:val="003C694D"/>
    <w:rsid w:val="003C796C"/>
    <w:rsid w:val="003F6584"/>
    <w:rsid w:val="00400B52"/>
    <w:rsid w:val="004238CA"/>
    <w:rsid w:val="004242B0"/>
    <w:rsid w:val="00425D89"/>
    <w:rsid w:val="00442836"/>
    <w:rsid w:val="004437DA"/>
    <w:rsid w:val="00446298"/>
    <w:rsid w:val="00450DAC"/>
    <w:rsid w:val="00461D55"/>
    <w:rsid w:val="004670F9"/>
    <w:rsid w:val="004C124B"/>
    <w:rsid w:val="004C5DF6"/>
    <w:rsid w:val="004D235F"/>
    <w:rsid w:val="004D5058"/>
    <w:rsid w:val="004D69DA"/>
    <w:rsid w:val="004E178E"/>
    <w:rsid w:val="004E2D19"/>
    <w:rsid w:val="004F59B6"/>
    <w:rsid w:val="004F65C0"/>
    <w:rsid w:val="005040EE"/>
    <w:rsid w:val="0051041A"/>
    <w:rsid w:val="00514590"/>
    <w:rsid w:val="00520594"/>
    <w:rsid w:val="00522C02"/>
    <w:rsid w:val="00535ECA"/>
    <w:rsid w:val="00537755"/>
    <w:rsid w:val="0054664D"/>
    <w:rsid w:val="00570095"/>
    <w:rsid w:val="005746D4"/>
    <w:rsid w:val="00576FC2"/>
    <w:rsid w:val="0058482D"/>
    <w:rsid w:val="005B6C47"/>
    <w:rsid w:val="005C5980"/>
    <w:rsid w:val="005F2EF2"/>
    <w:rsid w:val="00601B5B"/>
    <w:rsid w:val="006066BF"/>
    <w:rsid w:val="00610EA0"/>
    <w:rsid w:val="0061174B"/>
    <w:rsid w:val="00632747"/>
    <w:rsid w:val="00642B20"/>
    <w:rsid w:val="00643C0C"/>
    <w:rsid w:val="0064745A"/>
    <w:rsid w:val="006517F4"/>
    <w:rsid w:val="00661DA0"/>
    <w:rsid w:val="00671642"/>
    <w:rsid w:val="00686B63"/>
    <w:rsid w:val="00693D6E"/>
    <w:rsid w:val="0069562B"/>
    <w:rsid w:val="00695D28"/>
    <w:rsid w:val="006A3380"/>
    <w:rsid w:val="006A6E71"/>
    <w:rsid w:val="006A7AE3"/>
    <w:rsid w:val="006A7B6C"/>
    <w:rsid w:val="006C2926"/>
    <w:rsid w:val="006C67CF"/>
    <w:rsid w:val="006D5A79"/>
    <w:rsid w:val="006D6127"/>
    <w:rsid w:val="006E3181"/>
    <w:rsid w:val="006F1372"/>
    <w:rsid w:val="0072388C"/>
    <w:rsid w:val="00727E9A"/>
    <w:rsid w:val="007310F4"/>
    <w:rsid w:val="00764CB3"/>
    <w:rsid w:val="00772C7C"/>
    <w:rsid w:val="00793E7F"/>
    <w:rsid w:val="007A79BF"/>
    <w:rsid w:val="007C2F95"/>
    <w:rsid w:val="007C4AEF"/>
    <w:rsid w:val="007D010A"/>
    <w:rsid w:val="007D0247"/>
    <w:rsid w:val="007F0297"/>
    <w:rsid w:val="008048DB"/>
    <w:rsid w:val="0080512D"/>
    <w:rsid w:val="0080729D"/>
    <w:rsid w:val="00810B5D"/>
    <w:rsid w:val="0081191A"/>
    <w:rsid w:val="00813AFA"/>
    <w:rsid w:val="00825628"/>
    <w:rsid w:val="0084439D"/>
    <w:rsid w:val="00844815"/>
    <w:rsid w:val="00875EDA"/>
    <w:rsid w:val="0088152F"/>
    <w:rsid w:val="008834D1"/>
    <w:rsid w:val="008920B4"/>
    <w:rsid w:val="008A2EAE"/>
    <w:rsid w:val="008A3E5E"/>
    <w:rsid w:val="008B4B1B"/>
    <w:rsid w:val="008B59C3"/>
    <w:rsid w:val="008B69F6"/>
    <w:rsid w:val="008C1455"/>
    <w:rsid w:val="008D320E"/>
    <w:rsid w:val="008D5859"/>
    <w:rsid w:val="008E502B"/>
    <w:rsid w:val="008F700C"/>
    <w:rsid w:val="00906323"/>
    <w:rsid w:val="009164C3"/>
    <w:rsid w:val="009461F5"/>
    <w:rsid w:val="00950395"/>
    <w:rsid w:val="009510BB"/>
    <w:rsid w:val="00955DE2"/>
    <w:rsid w:val="00967B85"/>
    <w:rsid w:val="00973AC9"/>
    <w:rsid w:val="009917B9"/>
    <w:rsid w:val="009A4843"/>
    <w:rsid w:val="009C1115"/>
    <w:rsid w:val="009D036C"/>
    <w:rsid w:val="009D3803"/>
    <w:rsid w:val="009E1544"/>
    <w:rsid w:val="009E30B2"/>
    <w:rsid w:val="009F541B"/>
    <w:rsid w:val="009F5AA0"/>
    <w:rsid w:val="009F68BC"/>
    <w:rsid w:val="009F7339"/>
    <w:rsid w:val="00A00B9F"/>
    <w:rsid w:val="00A13E9D"/>
    <w:rsid w:val="00A15F12"/>
    <w:rsid w:val="00A31D53"/>
    <w:rsid w:val="00A50430"/>
    <w:rsid w:val="00A57C02"/>
    <w:rsid w:val="00A645B4"/>
    <w:rsid w:val="00A6540E"/>
    <w:rsid w:val="00A817C7"/>
    <w:rsid w:val="00A81838"/>
    <w:rsid w:val="00A9110F"/>
    <w:rsid w:val="00A96916"/>
    <w:rsid w:val="00AA21F3"/>
    <w:rsid w:val="00AD261A"/>
    <w:rsid w:val="00AE664F"/>
    <w:rsid w:val="00AF35B9"/>
    <w:rsid w:val="00B064C6"/>
    <w:rsid w:val="00B1413F"/>
    <w:rsid w:val="00B16919"/>
    <w:rsid w:val="00B329F5"/>
    <w:rsid w:val="00B37682"/>
    <w:rsid w:val="00B46FFB"/>
    <w:rsid w:val="00B506CC"/>
    <w:rsid w:val="00B5315A"/>
    <w:rsid w:val="00B81354"/>
    <w:rsid w:val="00B822DC"/>
    <w:rsid w:val="00B901CB"/>
    <w:rsid w:val="00BA51E8"/>
    <w:rsid w:val="00BB0097"/>
    <w:rsid w:val="00BB1F6B"/>
    <w:rsid w:val="00BC0D7F"/>
    <w:rsid w:val="00BF028F"/>
    <w:rsid w:val="00C03B2C"/>
    <w:rsid w:val="00C17062"/>
    <w:rsid w:val="00C26104"/>
    <w:rsid w:val="00C27DF8"/>
    <w:rsid w:val="00C409AB"/>
    <w:rsid w:val="00C40A10"/>
    <w:rsid w:val="00C70594"/>
    <w:rsid w:val="00C8310F"/>
    <w:rsid w:val="00C93ED1"/>
    <w:rsid w:val="00CB4FB6"/>
    <w:rsid w:val="00CB70F7"/>
    <w:rsid w:val="00CC1B59"/>
    <w:rsid w:val="00CC7315"/>
    <w:rsid w:val="00CC7B2F"/>
    <w:rsid w:val="00CE00E2"/>
    <w:rsid w:val="00D04F1A"/>
    <w:rsid w:val="00D0580B"/>
    <w:rsid w:val="00D241F0"/>
    <w:rsid w:val="00D37B7D"/>
    <w:rsid w:val="00D5047C"/>
    <w:rsid w:val="00D520A2"/>
    <w:rsid w:val="00D56264"/>
    <w:rsid w:val="00D63E28"/>
    <w:rsid w:val="00D71EC4"/>
    <w:rsid w:val="00D729BC"/>
    <w:rsid w:val="00D74332"/>
    <w:rsid w:val="00D76177"/>
    <w:rsid w:val="00D80F43"/>
    <w:rsid w:val="00D82430"/>
    <w:rsid w:val="00D827DD"/>
    <w:rsid w:val="00D85F7D"/>
    <w:rsid w:val="00D9697B"/>
    <w:rsid w:val="00DA16A9"/>
    <w:rsid w:val="00DA1EF2"/>
    <w:rsid w:val="00DB7B5E"/>
    <w:rsid w:val="00DC3E26"/>
    <w:rsid w:val="00DC73EC"/>
    <w:rsid w:val="00DD5AC2"/>
    <w:rsid w:val="00DE3266"/>
    <w:rsid w:val="00DE42CC"/>
    <w:rsid w:val="00DE6741"/>
    <w:rsid w:val="00E043FD"/>
    <w:rsid w:val="00E15D37"/>
    <w:rsid w:val="00E171DC"/>
    <w:rsid w:val="00E44E13"/>
    <w:rsid w:val="00E47EAD"/>
    <w:rsid w:val="00E74112"/>
    <w:rsid w:val="00E74A8E"/>
    <w:rsid w:val="00E846E3"/>
    <w:rsid w:val="00E909D8"/>
    <w:rsid w:val="00EA1B19"/>
    <w:rsid w:val="00EA335D"/>
    <w:rsid w:val="00EC43B5"/>
    <w:rsid w:val="00ED352B"/>
    <w:rsid w:val="00EE1E2D"/>
    <w:rsid w:val="00EE7DD3"/>
    <w:rsid w:val="00EF057F"/>
    <w:rsid w:val="00EF5086"/>
    <w:rsid w:val="00F04B53"/>
    <w:rsid w:val="00F11079"/>
    <w:rsid w:val="00F172F5"/>
    <w:rsid w:val="00F239EF"/>
    <w:rsid w:val="00F4571D"/>
    <w:rsid w:val="00F61F6E"/>
    <w:rsid w:val="00F62D52"/>
    <w:rsid w:val="00FB1DB3"/>
    <w:rsid w:val="00FC1090"/>
    <w:rsid w:val="00FD2289"/>
    <w:rsid w:val="00FD35B0"/>
    <w:rsid w:val="00FE7751"/>
    <w:rsid w:val="00FF63E0"/>
    <w:rsid w:val="00FF7AC8"/>
    <w:rsid w:val="11292510"/>
    <w:rsid w:val="12BC511F"/>
    <w:rsid w:val="1863316F"/>
    <w:rsid w:val="1A5107B3"/>
    <w:rsid w:val="35360535"/>
    <w:rsid w:val="47FB5DE9"/>
    <w:rsid w:val="4DC319D6"/>
    <w:rsid w:val="4F8046B5"/>
    <w:rsid w:val="4FF86B59"/>
    <w:rsid w:val="56943ACF"/>
    <w:rsid w:val="5B133480"/>
    <w:rsid w:val="5D2F35AB"/>
    <w:rsid w:val="5D870B6F"/>
    <w:rsid w:val="601322D9"/>
    <w:rsid w:val="62F97914"/>
    <w:rsid w:val="69FF22DC"/>
    <w:rsid w:val="6A7E40A4"/>
    <w:rsid w:val="75B018EB"/>
    <w:rsid w:val="775D5698"/>
    <w:rsid w:val="79144214"/>
    <w:rsid w:val="7F81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rFonts w:ascii="Calibri" w:hAnsi="Calibri" w:eastAsia="宋体" w:cs="Times New Roman"/>
      <w:b/>
      <w:bCs/>
      <w:kern w:val="44"/>
      <w:sz w:val="44"/>
      <w:szCs w:val="44"/>
      <w:lang w:val="zh-CN" w:eastAsia="zh-CN"/>
    </w:rPr>
  </w:style>
  <w:style w:type="paragraph" w:styleId="3">
    <w:name w:val="heading 2"/>
    <w:basedOn w:val="1"/>
    <w:next w:val="1"/>
    <w:link w:val="20"/>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296"/>
      </w:tabs>
      <w:spacing w:line="360" w:lineRule="auto"/>
      <w:jc w:val="center"/>
    </w:pPr>
    <w:rPr>
      <w:rFonts w:ascii="仿宋_GB2312" w:eastAsia="仿宋_GB2312"/>
      <w:sz w:val="2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0"/>
    <w:rPr>
      <w:sz w:val="18"/>
      <w:szCs w:val="18"/>
    </w:rPr>
  </w:style>
  <w:style w:type="character" w:customStyle="1" w:styleId="13">
    <w:name w:val="页脚 字符"/>
    <w:basedOn w:val="10"/>
    <w:link w:val="5"/>
    <w:qFormat/>
    <w:uiPriority w:val="99"/>
    <w:rPr>
      <w:sz w:val="18"/>
      <w:szCs w:val="18"/>
    </w:rPr>
  </w:style>
  <w:style w:type="character" w:customStyle="1" w:styleId="14">
    <w:name w:val="标题 1 字符"/>
    <w:basedOn w:val="10"/>
    <w:link w:val="2"/>
    <w:qFormat/>
    <w:uiPriority w:val="9"/>
    <w:rPr>
      <w:rFonts w:ascii="Calibri" w:hAnsi="Calibri" w:eastAsia="宋体" w:cs="Times New Roman"/>
      <w:b/>
      <w:bCs/>
      <w:kern w:val="44"/>
      <w:sz w:val="44"/>
      <w:szCs w:val="44"/>
      <w:lang w:val="zh-CN" w:eastAsia="zh-CN"/>
    </w:rPr>
  </w:style>
  <w:style w:type="paragraph" w:customStyle="1" w:styleId="15">
    <w:name w:val="样式 样式 标题 3 + 首行缩进:  2 字符 + 首行缩进:  2 字符 段后: 0.5 行"/>
    <w:basedOn w:val="1"/>
    <w:qFormat/>
    <w:uiPriority w:val="0"/>
    <w:pPr>
      <w:keepLines/>
      <w:widowControl/>
      <w:spacing w:before="60" w:afterLines="30" w:line="360" w:lineRule="auto"/>
      <w:outlineLvl w:val="2"/>
    </w:pPr>
    <w:rPr>
      <w:rFonts w:ascii="Times New Roman" w:hAnsi="Times New Roman" w:eastAsia="STFangsong" w:cs="宋体"/>
      <w:sz w:val="24"/>
      <w:szCs w:val="24"/>
    </w:rPr>
  </w:style>
  <w:style w:type="paragraph" w:styleId="16">
    <w:name w:val="List Paragraph"/>
    <w:basedOn w:val="1"/>
    <w:qFormat/>
    <w:uiPriority w:val="34"/>
    <w:pPr>
      <w:ind w:firstLine="420" w:firstLineChars="200"/>
    </w:pPr>
  </w:style>
  <w:style w:type="paragraph" w:customStyle="1" w:styleId="17">
    <w:name w:val="05正文"/>
    <w:basedOn w:val="1"/>
    <w:qFormat/>
    <w:uiPriority w:val="0"/>
    <w:pPr>
      <w:spacing w:line="360" w:lineRule="auto"/>
      <w:ind w:firstLine="480" w:firstLineChars="200"/>
      <w:jc w:val="left"/>
    </w:pPr>
    <w:rPr>
      <w:rFonts w:ascii="宋体" w:hAnsi="宋体" w:eastAsia="宋体" w:cs="Times New Roman"/>
      <w:color w:val="000000"/>
      <w:sz w:val="24"/>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字符"/>
    <w:basedOn w:val="10"/>
    <w:link w:val="18"/>
    <w:qFormat/>
    <w:uiPriority w:val="1"/>
    <w:rPr>
      <w:kern w:val="0"/>
      <w:sz w:val="22"/>
    </w:rPr>
  </w:style>
  <w:style w:type="character" w:customStyle="1" w:styleId="20">
    <w:name w:val="标题 2 字符"/>
    <w:basedOn w:val="10"/>
    <w:link w:val="3"/>
    <w:qFormat/>
    <w:uiPriority w:val="9"/>
    <w:rPr>
      <w:rFonts w:ascii="Cambria" w:hAnsi="Cambria" w:eastAsia="宋体" w:cs="Times New Roman"/>
      <w:b/>
      <w:bCs/>
      <w:sz w:val="32"/>
      <w:szCs w:val="32"/>
    </w:rPr>
  </w:style>
  <w:style w:type="character" w:customStyle="1" w:styleId="21">
    <w:name w:val="批注框文本 字符"/>
    <w:basedOn w:val="10"/>
    <w:link w:val="4"/>
    <w:semiHidden/>
    <w:qFormat/>
    <w:uiPriority w:val="99"/>
    <w:rPr>
      <w:sz w:val="18"/>
      <w:szCs w:val="18"/>
    </w:rPr>
  </w:style>
  <w:style w:type="paragraph" w:customStyle="1" w:styleId="22">
    <w:name w:val="文本正文"/>
    <w:basedOn w:val="1"/>
    <w:link w:val="23"/>
    <w:qFormat/>
    <w:uiPriority w:val="0"/>
    <w:pPr>
      <w:spacing w:afterLines="50" w:line="360" w:lineRule="auto"/>
      <w:ind w:firstLine="200" w:firstLineChars="200"/>
    </w:pPr>
    <w:rPr>
      <w:rFonts w:ascii="Calibri" w:hAnsi="Calibri" w:eastAsia="宋体" w:cs="Times New Roman"/>
      <w:sz w:val="24"/>
      <w:szCs w:val="24"/>
    </w:rPr>
  </w:style>
  <w:style w:type="character" w:customStyle="1" w:styleId="23">
    <w:name w:val="文本正文 Char"/>
    <w:link w:val="22"/>
    <w:qFormat/>
    <w:uiPriority w:val="0"/>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A7212-5B61-4980-BAC2-84EF0AC329C8}">
  <ds:schemaRefs/>
</ds:datastoreItem>
</file>

<file path=docProps/app.xml><?xml version="1.0" encoding="utf-8"?>
<Properties xmlns="http://schemas.openxmlformats.org/officeDocument/2006/extended-properties" xmlns:vt="http://schemas.openxmlformats.org/officeDocument/2006/docPropsVTypes">
  <Template>Normal</Template>
  <Pages>21</Pages>
  <Words>1442</Words>
  <Characters>8224</Characters>
  <Lines>68</Lines>
  <Paragraphs>19</Paragraphs>
  <TotalTime>3</TotalTime>
  <ScaleCrop>false</ScaleCrop>
  <LinksUpToDate>false</LinksUpToDate>
  <CharactersWithSpaces>9647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2017-07-05T14:02:00Z</dcterms:created>
  <dc:creator>王飞</dc:creator>
  <cp:lastModifiedBy>别让路空了</cp:lastModifiedBy>
  <cp:lastPrinted>2020-06-04T07:27:00Z</cp:lastPrinted>
  <dcterms:modified xsi:type="dcterms:W3CDTF">2022-07-19T02:59:03Z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