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both"/>
        <w:rPr>
          <w:rFonts w:hint="eastAsia" w:ascii="Times New Roman" w:hAnsi="Times New Roman" w:eastAsia="等线" w:cs="等线"/>
          <w:sz w:val="22"/>
          <w:szCs w:val="28"/>
          <w:highlight w:val="none"/>
          <w:lang w:eastAsia="zh-CN"/>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52"/>
          <w:szCs w:val="72"/>
          <w:highlight w:val="none"/>
        </w:rPr>
      </w:pPr>
    </w:p>
    <w:p>
      <w:pPr>
        <w:pStyle w:val="6"/>
      </w:pPr>
    </w:p>
    <w:p>
      <w:pPr>
        <w:spacing w:line="240" w:lineRule="auto"/>
        <w:ind w:firstLine="0" w:firstLineChars="0"/>
        <w:jc w:val="center"/>
        <w:rPr>
          <w:rFonts w:ascii="Times New Roman" w:hAnsi="Times New Roman" w:eastAsia="等线" w:cs="等线"/>
          <w:sz w:val="52"/>
          <w:szCs w:val="7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黑体" w:cs="方正小标宋简体"/>
          <w:b/>
          <w:bCs/>
          <w:sz w:val="44"/>
          <w:szCs w:val="44"/>
          <w:lang w:val="en-US" w:eastAsia="zh-CN"/>
        </w:rPr>
      </w:pPr>
      <w:r>
        <w:rPr>
          <w:rFonts w:hint="eastAsia" w:ascii="Times New Roman" w:hAnsi="Times New Roman" w:eastAsia="黑体" w:cs="方正小标宋简体"/>
          <w:b/>
          <w:bCs/>
          <w:sz w:val="44"/>
          <w:szCs w:val="44"/>
          <w:lang w:val="en-US" w:eastAsia="zh-CN"/>
        </w:rPr>
        <w:t>潮安区2022年区级公共卫生应急管理项目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黑体" w:cs="方正小标宋简体"/>
          <w:b/>
          <w:bCs/>
          <w:sz w:val="44"/>
          <w:szCs w:val="44"/>
          <w:lang w:val="en-US" w:eastAsia="zh-CN"/>
        </w:rPr>
      </w:pPr>
      <w:r>
        <w:rPr>
          <w:rFonts w:hint="eastAsia" w:ascii="Times New Roman" w:hAnsi="Times New Roman" w:eastAsia="黑体" w:cs="方正小标宋简体"/>
          <w:b/>
          <w:bCs/>
          <w:sz w:val="44"/>
          <w:szCs w:val="44"/>
          <w:lang w:val="en-US" w:eastAsia="zh-CN"/>
        </w:rPr>
        <w:t>绩效评价报告</w:t>
      </w:r>
    </w:p>
    <w:p>
      <w:pPr>
        <w:spacing w:line="240" w:lineRule="auto"/>
        <w:ind w:firstLine="0" w:firstLineChars="0"/>
        <w:jc w:val="center"/>
        <w:rPr>
          <w:rFonts w:ascii="Times New Roman" w:hAnsi="Times New Roman" w:eastAsia="等线" w:cs="等线"/>
          <w:sz w:val="52"/>
          <w:szCs w:val="72"/>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pStyle w:val="6"/>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pStyle w:val="6"/>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rPr>
          <w:rFonts w:ascii="Times New Roman" w:hAnsi="Times New Roman" w:eastAsia="等线" w:cs="等线"/>
          <w:sz w:val="22"/>
          <w:szCs w:val="28"/>
          <w:highlight w:val="none"/>
        </w:rPr>
      </w:pPr>
    </w:p>
    <w:p>
      <w:pPr>
        <w:widowControl/>
        <w:spacing w:before="46" w:line="240" w:lineRule="auto"/>
        <w:ind w:firstLine="0" w:firstLineChars="0"/>
        <w:jc w:val="center"/>
        <w:rPr>
          <w:rFonts w:ascii="Times New Roman" w:hAnsi="Times New Roman" w:eastAsia="黑体" w:cs="黑体"/>
          <w:bCs/>
          <w:kern w:val="0"/>
          <w:sz w:val="28"/>
          <w:szCs w:val="28"/>
          <w:highlight w:val="none"/>
        </w:rPr>
      </w:pPr>
      <w:r>
        <w:rPr>
          <w:rFonts w:hint="eastAsia" w:ascii="Times New Roman" w:hAnsi="Times New Roman" w:eastAsia="黑体" w:cs="黑体"/>
          <w:bCs/>
          <w:kern w:val="0"/>
          <w:sz w:val="28"/>
          <w:szCs w:val="28"/>
          <w:highlight w:val="none"/>
        </w:rPr>
        <w:t>委托方：潮州市潮安区财政局</w:t>
      </w:r>
    </w:p>
    <w:p>
      <w:pPr>
        <w:widowControl/>
        <w:spacing w:before="46" w:line="240" w:lineRule="auto"/>
        <w:ind w:firstLine="0" w:firstLineChars="0"/>
        <w:jc w:val="center"/>
        <w:rPr>
          <w:rFonts w:hint="default" w:ascii="Times New Roman" w:hAnsi="Times New Roman" w:eastAsia="黑体" w:cs="黑体"/>
          <w:bCs/>
          <w:kern w:val="0"/>
          <w:sz w:val="28"/>
          <w:szCs w:val="28"/>
          <w:highlight w:val="none"/>
          <w:lang w:val="en-US" w:eastAsia="zh-CN"/>
        </w:rPr>
      </w:pPr>
      <w:r>
        <w:rPr>
          <w:rFonts w:hint="eastAsia" w:ascii="Times New Roman" w:hAnsi="Times New Roman" w:eastAsia="黑体" w:cs="黑体"/>
          <w:bCs/>
          <w:kern w:val="0"/>
          <w:sz w:val="28"/>
          <w:szCs w:val="28"/>
          <w:highlight w:val="none"/>
        </w:rPr>
        <w:t>被评价单位：</w:t>
      </w:r>
      <w:r>
        <w:rPr>
          <w:rFonts w:hint="eastAsia" w:eastAsia="黑体" w:cs="黑体"/>
          <w:bCs/>
          <w:kern w:val="0"/>
          <w:sz w:val="28"/>
          <w:szCs w:val="28"/>
          <w:highlight w:val="none"/>
          <w:lang w:val="en-US" w:eastAsia="zh-CN"/>
        </w:rPr>
        <w:t>潮州市潮安区发展和改革局</w:t>
      </w:r>
    </w:p>
    <w:p>
      <w:pPr>
        <w:widowControl/>
        <w:spacing w:before="46" w:line="240" w:lineRule="auto"/>
        <w:ind w:firstLine="0" w:firstLineChars="0"/>
        <w:jc w:val="center"/>
        <w:rPr>
          <w:rFonts w:ascii="Times New Roman" w:hAnsi="Times New Roman" w:eastAsia="黑体" w:cs="黑体"/>
          <w:bCs/>
          <w:kern w:val="0"/>
          <w:sz w:val="28"/>
          <w:szCs w:val="28"/>
          <w:highlight w:val="none"/>
        </w:rPr>
      </w:pPr>
      <w:r>
        <w:rPr>
          <w:rFonts w:hint="eastAsia" w:ascii="Times New Roman" w:hAnsi="Times New Roman" w:eastAsia="黑体" w:cs="黑体"/>
          <w:bCs/>
          <w:kern w:val="0"/>
          <w:sz w:val="28"/>
          <w:szCs w:val="28"/>
          <w:highlight w:val="none"/>
        </w:rPr>
        <w:t>评价机构：北京博思恒效咨询有限公司</w:t>
      </w:r>
    </w:p>
    <w:p>
      <w:pPr>
        <w:widowControl/>
        <w:spacing w:before="46" w:line="240" w:lineRule="auto"/>
        <w:ind w:firstLine="0" w:firstLineChars="0"/>
        <w:jc w:val="center"/>
        <w:rPr>
          <w:rFonts w:ascii="Times New Roman" w:hAnsi="Times New Roman" w:eastAsia="黑体" w:cs="黑体"/>
          <w:bCs/>
          <w:kern w:val="0"/>
          <w:sz w:val="28"/>
          <w:szCs w:val="28"/>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eastAsia="黑体" w:cs="黑体"/>
          <w:bCs/>
          <w:kern w:val="0"/>
          <w:sz w:val="28"/>
          <w:szCs w:val="28"/>
          <w:highlight w:val="none"/>
          <w:lang w:val="en-US" w:eastAsia="zh-CN"/>
        </w:rPr>
        <w:t>评价</w:t>
      </w:r>
      <w:r>
        <w:rPr>
          <w:rFonts w:hint="eastAsia" w:ascii="Times New Roman" w:hAnsi="Times New Roman" w:eastAsia="黑体" w:cs="黑体"/>
          <w:bCs/>
          <w:kern w:val="0"/>
          <w:sz w:val="28"/>
          <w:szCs w:val="28"/>
          <w:highlight w:val="none"/>
        </w:rPr>
        <w:t>日期：202</w:t>
      </w:r>
      <w:r>
        <w:rPr>
          <w:rFonts w:hint="eastAsia" w:eastAsia="黑体" w:cs="黑体"/>
          <w:bCs/>
          <w:kern w:val="0"/>
          <w:sz w:val="28"/>
          <w:szCs w:val="28"/>
          <w:highlight w:val="none"/>
          <w:lang w:val="en-US" w:eastAsia="zh-CN"/>
        </w:rPr>
        <w:t>3</w:t>
      </w:r>
      <w:r>
        <w:rPr>
          <w:rFonts w:hint="eastAsia" w:ascii="Times New Roman" w:hAnsi="Times New Roman" w:eastAsia="黑体" w:cs="黑体"/>
          <w:bCs/>
          <w:kern w:val="0"/>
          <w:sz w:val="28"/>
          <w:szCs w:val="28"/>
          <w:highlight w:val="none"/>
        </w:rPr>
        <w:t>年</w:t>
      </w:r>
      <w:r>
        <w:rPr>
          <w:rFonts w:hint="eastAsia" w:eastAsia="黑体" w:cs="黑体"/>
          <w:bCs/>
          <w:kern w:val="0"/>
          <w:sz w:val="28"/>
          <w:szCs w:val="28"/>
          <w:highlight w:val="none"/>
          <w:lang w:val="en-US" w:eastAsia="zh-CN"/>
        </w:rPr>
        <w:t>9</w:t>
      </w:r>
      <w:r>
        <w:rPr>
          <w:rFonts w:hint="eastAsia" w:ascii="Times New Roman" w:hAnsi="Times New Roman" w:eastAsia="黑体" w:cs="黑体"/>
          <w:bCs/>
          <w:kern w:val="0"/>
          <w:sz w:val="28"/>
          <w:szCs w:val="28"/>
          <w:highlight w:val="none"/>
        </w:rPr>
        <w:t>月</w:t>
      </w:r>
    </w:p>
    <w:sdt>
      <w:sdtPr>
        <w:rPr>
          <w:rFonts w:hint="eastAsia" w:ascii="Times New Roman" w:hAnsi="Times New Roman" w:eastAsia="黑体" w:cs="黑体"/>
          <w:sz w:val="36"/>
          <w:szCs w:val="44"/>
          <w:highlight w:val="none"/>
          <w:lang w:val="en-US" w:eastAsia="zh-CN"/>
        </w:rPr>
        <w:id w:val="147473648"/>
        <w15:color w:val="DBDBDB"/>
        <w:docPartObj>
          <w:docPartGallery w:val="Table of Contents"/>
          <w:docPartUnique/>
        </w:docPartObj>
      </w:sdtPr>
      <w:sdtEndPr>
        <w:rPr>
          <w:rFonts w:hint="default" w:ascii="Times New Roman" w:hAnsi="Times New Roman" w:eastAsia="仿宋_GB2312" w:cs="Times New Roman"/>
          <w:b/>
          <w:kern w:val="2"/>
          <w:sz w:val="32"/>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sz w:val="36"/>
              <w:szCs w:val="44"/>
              <w:highlight w:val="none"/>
            </w:rPr>
          </w:pPr>
          <w:r>
            <w:rPr>
              <w:rFonts w:hint="eastAsia" w:ascii="Times New Roman" w:hAnsi="Times New Roman" w:eastAsia="黑体" w:cs="黑体"/>
              <w:sz w:val="36"/>
              <w:szCs w:val="44"/>
              <w:highlight w:val="none"/>
            </w:rPr>
            <w:t>目</w:t>
          </w:r>
          <w:r>
            <w:rPr>
              <w:rFonts w:hint="eastAsia" w:ascii="Times New Roman" w:hAnsi="Times New Roman" w:eastAsia="黑体" w:cs="黑体"/>
              <w:sz w:val="36"/>
              <w:szCs w:val="44"/>
              <w:highlight w:val="none"/>
              <w:lang w:val="en-US" w:eastAsia="zh-CN"/>
            </w:rPr>
            <w:t xml:space="preserve">  </w:t>
          </w:r>
          <w:r>
            <w:rPr>
              <w:rFonts w:hint="eastAsia" w:ascii="Times New Roman" w:hAnsi="Times New Roman" w:eastAsia="黑体" w:cs="黑体"/>
              <w:sz w:val="36"/>
              <w:szCs w:val="44"/>
              <w:highlight w:val="none"/>
            </w:rPr>
            <w:t>录</w:t>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_Toc16399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highlight w:val="none"/>
            </w:rPr>
            <w:t>一、基本情况</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_Toc16399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_Toc25514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（一）项目基本情况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_Toc25514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_Toc8594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（二）项目绩效目标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_Toc8594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_Toc13216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（三）项目预算安排及支出情况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_Toc13216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_Toc2131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二、评价结论</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_Toc2131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6</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_Toc24335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三、绩效指标分析</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_Toc24335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7</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_Toc15376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（一）项目决策</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_Toc15376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_Toc8802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）项目</w:t>
          </w:r>
          <w:r>
            <w:rPr>
              <w:rFonts w:hint="default" w:ascii="Times New Roman" w:hAnsi="Times New Roman" w:eastAsia="仿宋_GB2312" w:cs="Times New Roman"/>
              <w:sz w:val="28"/>
              <w:szCs w:val="28"/>
              <w:lang w:val="en-US" w:eastAsia="zh-CN"/>
            </w:rPr>
            <w:t>过程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_Toc8802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_Toc21661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）项目</w:t>
          </w:r>
          <w:r>
            <w:rPr>
              <w:rFonts w:hint="default" w:ascii="Times New Roman" w:hAnsi="Times New Roman" w:eastAsia="仿宋_GB2312" w:cs="Times New Roman"/>
              <w:sz w:val="28"/>
              <w:szCs w:val="28"/>
              <w:lang w:val="en-US" w:eastAsia="zh-CN"/>
            </w:rPr>
            <w:t>产出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_Toc21661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_Toc14029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rPr>
            <w:t>）项目</w:t>
          </w:r>
          <w:r>
            <w:rPr>
              <w:rFonts w:hint="default" w:ascii="Times New Roman" w:hAnsi="Times New Roman" w:eastAsia="仿宋_GB2312" w:cs="Times New Roman"/>
              <w:sz w:val="28"/>
              <w:szCs w:val="28"/>
              <w:lang w:val="en-US" w:eastAsia="zh-CN"/>
            </w:rPr>
            <w:t>效益</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_Toc14029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_Toc27718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）满意度</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_Toc27718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_Toc9134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四、主要绩效与经验做法</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_Toc9134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17</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_Toc29233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（一）应急物资配备到位，提高潮安区应急救援能力</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_Toc29233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_Toc29668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（二）建立健全应急物资调拨制度，保障其使用有效性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_Toc29668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_Toc1224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highlight w:val="none"/>
            </w:rPr>
            <w:t>五、存在问题及原因分析</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_Toc1224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18</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_Toc14101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val="en-US" w:eastAsia="zh-CN"/>
            </w:rPr>
            <w:t>财务管理不规范，未建立专户管理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_Toc14101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_Toc15474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（二）资金测算不</w:t>
          </w:r>
          <w:r>
            <w:rPr>
              <w:rFonts w:hint="default" w:ascii="Times New Roman" w:hAnsi="Times New Roman" w:eastAsia="仿宋_GB2312" w:cs="Times New Roman"/>
              <w:sz w:val="28"/>
              <w:szCs w:val="28"/>
              <w:lang w:val="en-US" w:eastAsia="zh-CN"/>
            </w:rPr>
            <w:t>够合理</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台账</w:t>
          </w:r>
          <w:r>
            <w:rPr>
              <w:rFonts w:hint="default" w:ascii="Times New Roman" w:hAnsi="Times New Roman" w:eastAsia="仿宋_GB2312" w:cs="Times New Roman"/>
              <w:sz w:val="28"/>
              <w:szCs w:val="28"/>
            </w:rPr>
            <w:t>管理</w:t>
          </w:r>
          <w:r>
            <w:rPr>
              <w:rFonts w:hint="default" w:ascii="Times New Roman" w:hAnsi="Times New Roman" w:eastAsia="仿宋_GB2312" w:cs="Times New Roman"/>
              <w:sz w:val="28"/>
              <w:szCs w:val="28"/>
              <w:lang w:val="en-US" w:eastAsia="zh-CN"/>
            </w:rPr>
            <w:t>不善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_Toc15474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_Toc13820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（三）合同</w:t>
          </w:r>
          <w:r>
            <w:rPr>
              <w:rFonts w:hint="default" w:ascii="Times New Roman" w:hAnsi="Times New Roman" w:eastAsia="仿宋_GB2312" w:cs="Times New Roman"/>
              <w:sz w:val="28"/>
              <w:szCs w:val="28"/>
            </w:rPr>
            <w:t>管理</w:t>
          </w:r>
          <w:r>
            <w:rPr>
              <w:rFonts w:hint="default" w:ascii="Times New Roman" w:hAnsi="Times New Roman" w:eastAsia="仿宋_GB2312" w:cs="Times New Roman"/>
              <w:sz w:val="28"/>
              <w:szCs w:val="28"/>
              <w:lang w:val="en-US" w:eastAsia="zh-CN"/>
            </w:rPr>
            <w:t>不够规范</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合同</w:t>
          </w:r>
          <w:r>
            <w:rPr>
              <w:rFonts w:hint="default" w:ascii="Times New Roman" w:hAnsi="Times New Roman" w:eastAsia="仿宋_GB2312" w:cs="Times New Roman"/>
              <w:sz w:val="28"/>
              <w:szCs w:val="28"/>
            </w:rPr>
            <w:t>管理意识</w:t>
          </w:r>
          <w:r>
            <w:rPr>
              <w:rFonts w:hint="default" w:ascii="Times New Roman" w:hAnsi="Times New Roman" w:eastAsia="仿宋_GB2312" w:cs="Times New Roman"/>
              <w:sz w:val="28"/>
              <w:szCs w:val="28"/>
              <w:lang w:val="en-US" w:eastAsia="zh-CN"/>
            </w:rPr>
            <w:t>不足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_Toc13820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_Toc20779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项目管理</w:t>
          </w:r>
          <w:r>
            <w:rPr>
              <w:rFonts w:hint="default" w:ascii="Times New Roman" w:hAnsi="Times New Roman" w:eastAsia="仿宋_GB2312" w:cs="Times New Roman"/>
              <w:sz w:val="28"/>
              <w:szCs w:val="28"/>
              <w:lang w:val="en-US" w:eastAsia="zh-CN"/>
            </w:rPr>
            <w:t>制度不够健全</w:t>
          </w:r>
          <w:r>
            <w:rPr>
              <w:rFonts w:hint="default" w:ascii="Times New Roman" w:hAnsi="Times New Roman" w:eastAsia="仿宋_GB2312" w:cs="Times New Roman"/>
              <w:sz w:val="28"/>
              <w:szCs w:val="28"/>
            </w:rPr>
            <w:t>，过程监管有待加强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_Toc20779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_Toc14891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highlight w:val="none"/>
            </w:rPr>
            <w:t>六、对策建议</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_Toc14891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_Toc6579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（一）规范记账完善附件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加强项目财务管理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_Toc6579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_Toc3310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（二）强化资金预算管控，做好分批次储备管理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_Toc3310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_Toc6516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（三）</w:t>
          </w:r>
          <w:r>
            <w:rPr>
              <w:rFonts w:hint="default" w:ascii="Times New Roman" w:hAnsi="Times New Roman" w:eastAsia="仿宋_GB2312" w:cs="Times New Roman"/>
              <w:sz w:val="28"/>
              <w:szCs w:val="28"/>
              <w:lang w:val="en-US" w:eastAsia="zh-CN"/>
            </w:rPr>
            <w:t>加强合同履约管理，提高风险防范意识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_Toc6516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_Toc11822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（四）建立健全管理制度，加强专业技能培训</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_Toc11822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_Toc14923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lang w:val="en-US" w:eastAsia="zh-CN"/>
            </w:rPr>
            <w:t>七、附件</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_Toc14923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22</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_Toc2950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kern w:val="44"/>
              <w:sz w:val="28"/>
              <w:szCs w:val="28"/>
              <w:highlight w:val="none"/>
              <w:lang w:val="en-US" w:eastAsia="zh-CN" w:bidi="ar-SA"/>
            </w:rPr>
            <w:t>附件1 潮安区2022年区级公共卫生应急物资采购项目绩效评价说明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_Toc2950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left="0" w:leftChars="0" w:firstLine="560" w:firstLineChars="200"/>
            <w:textAlignment w:val="auto"/>
            <w:rPr>
              <w:rFonts w:hint="default" w:ascii="Times New Roman" w:hAnsi="Times New Roman" w:cs="Times New Roman"/>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_Toc31185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highlight w:val="none"/>
            </w:rPr>
            <w:t>附件2潮安区</w:t>
          </w:r>
          <w:r>
            <w:rPr>
              <w:rFonts w:hint="default" w:ascii="Times New Roman" w:hAnsi="Times New Roman" w:eastAsia="仿宋_GB2312" w:cs="Times New Roman"/>
              <w:bCs/>
              <w:sz w:val="28"/>
              <w:szCs w:val="28"/>
              <w:highlight w:val="none"/>
              <w:lang w:eastAsia="zh-CN"/>
            </w:rPr>
            <w:t>2022</w:t>
          </w:r>
          <w:r>
            <w:rPr>
              <w:rFonts w:hint="default" w:ascii="Times New Roman" w:hAnsi="Times New Roman" w:eastAsia="仿宋_GB2312" w:cs="Times New Roman"/>
              <w:bCs/>
              <w:sz w:val="28"/>
              <w:szCs w:val="28"/>
              <w:highlight w:val="none"/>
            </w:rPr>
            <w:t>年</w:t>
          </w:r>
          <w:r>
            <w:rPr>
              <w:rFonts w:hint="default" w:ascii="Times New Roman" w:hAnsi="Times New Roman" w:eastAsia="仿宋_GB2312" w:cs="Times New Roman"/>
              <w:bCs/>
              <w:sz w:val="28"/>
              <w:szCs w:val="28"/>
              <w:highlight w:val="none"/>
              <w:lang w:val="en-US" w:eastAsia="zh-CN"/>
            </w:rPr>
            <w:t>区级公共卫生应急物资采购项目</w:t>
          </w:r>
          <w:r>
            <w:rPr>
              <w:rFonts w:hint="default" w:ascii="Times New Roman" w:hAnsi="Times New Roman" w:eastAsia="仿宋_GB2312" w:cs="Times New Roman"/>
              <w:bCs/>
              <w:sz w:val="28"/>
              <w:szCs w:val="28"/>
              <w:highlight w:val="none"/>
            </w:rPr>
            <w:t>绩效评价评分表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_Toc31185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3"/>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w:fldChar w:fldCharType="end"/>
          </w:r>
        </w:p>
      </w:sdtContent>
    </w:sdt>
    <w:p>
      <w:pPr>
        <w:ind w:firstLine="0" w:firstLineChars="0"/>
        <w:jc w:val="center"/>
        <w:outlineLvl w:val="9"/>
        <w:rPr>
          <w:rFonts w:ascii="Times New Roman" w:hAnsi="Times New Roman" w:eastAsia="黑体" w:cs="Arial"/>
          <w:b/>
          <w:bCs/>
          <w:sz w:val="44"/>
          <w:szCs w:val="44"/>
          <w:highlight w:val="none"/>
        </w:rPr>
      </w:pPr>
      <w:bookmarkStart w:id="0" w:name="_Toc20998"/>
      <w:r>
        <w:rPr>
          <w:rFonts w:hint="eastAsia" w:ascii="Times New Roman" w:hAnsi="Times New Roman" w:eastAsia="黑体"/>
          <w:b/>
          <w:sz w:val="44"/>
          <w:szCs w:val="44"/>
          <w:highlight w:val="none"/>
        </w:rPr>
        <w:t>潮安区</w:t>
      </w:r>
      <w:r>
        <w:rPr>
          <w:rFonts w:hint="eastAsia" w:eastAsia="黑体"/>
          <w:b/>
          <w:sz w:val="44"/>
          <w:szCs w:val="44"/>
          <w:highlight w:val="none"/>
          <w:lang w:eastAsia="zh-CN"/>
        </w:rPr>
        <w:t>202</w:t>
      </w:r>
      <w:r>
        <w:rPr>
          <w:rFonts w:hint="eastAsia" w:eastAsia="黑体"/>
          <w:b/>
          <w:sz w:val="44"/>
          <w:szCs w:val="44"/>
          <w:highlight w:val="none"/>
          <w:lang w:val="en-US" w:eastAsia="zh-CN"/>
        </w:rPr>
        <w:t>2</w:t>
      </w:r>
      <w:r>
        <w:rPr>
          <w:rFonts w:hint="eastAsia" w:ascii="Times New Roman" w:hAnsi="Times New Roman" w:eastAsia="黑体"/>
          <w:b/>
          <w:sz w:val="44"/>
          <w:szCs w:val="44"/>
          <w:highlight w:val="none"/>
        </w:rPr>
        <w:t>年</w:t>
      </w:r>
      <w:r>
        <w:rPr>
          <w:rFonts w:hint="eastAsia" w:eastAsia="黑体"/>
          <w:b/>
          <w:sz w:val="44"/>
          <w:szCs w:val="44"/>
          <w:highlight w:val="none"/>
          <w:lang w:val="en-US" w:eastAsia="zh-CN"/>
        </w:rPr>
        <w:t>区级公共卫生应急物资采购</w:t>
      </w:r>
      <w:r>
        <w:rPr>
          <w:rFonts w:hint="eastAsia" w:ascii="Times New Roman" w:hAnsi="Times New Roman" w:eastAsia="黑体" w:cs="Arial"/>
          <w:b/>
          <w:bCs/>
          <w:sz w:val="44"/>
          <w:szCs w:val="44"/>
          <w:highlight w:val="none"/>
        </w:rPr>
        <w:t>项目支出</w:t>
      </w:r>
      <w:r>
        <w:rPr>
          <w:rFonts w:ascii="Times New Roman" w:hAnsi="Times New Roman" w:eastAsia="黑体" w:cs="Arial"/>
          <w:b/>
          <w:bCs/>
          <w:sz w:val="44"/>
          <w:szCs w:val="44"/>
          <w:highlight w:val="none"/>
        </w:rPr>
        <w:t>绩效</w:t>
      </w:r>
      <w:r>
        <w:rPr>
          <w:rFonts w:hint="eastAsia" w:ascii="Times New Roman" w:hAnsi="Times New Roman" w:eastAsia="黑体" w:cs="Arial"/>
          <w:b/>
          <w:bCs/>
          <w:sz w:val="44"/>
          <w:szCs w:val="44"/>
          <w:highlight w:val="none"/>
        </w:rPr>
        <w:t>评价报告</w:t>
      </w:r>
      <w:bookmarkEnd w:id="0"/>
    </w:p>
    <w:p>
      <w:pPr>
        <w:ind w:firstLine="640"/>
        <w:rPr>
          <w:rFonts w:ascii="Times New Roman" w:hAnsi="Times New Roman"/>
          <w:highlight w:val="none"/>
          <w:lang w:bidi="ar"/>
        </w:rPr>
      </w:pPr>
    </w:p>
    <w:p>
      <w:pPr>
        <w:ind w:firstLine="640"/>
        <w:rPr>
          <w:rFonts w:ascii="Times New Roman" w:hAnsi="Times New Roman"/>
          <w:i/>
          <w:iCs/>
          <w:color w:val="0000FF"/>
          <w:highlight w:val="none"/>
          <w:lang w:bidi="ar"/>
        </w:rPr>
      </w:pPr>
      <w:r>
        <w:rPr>
          <w:rFonts w:hint="eastAsia" w:ascii="Times New Roman" w:hAnsi="Times New Roman"/>
          <w:highlight w:val="none"/>
          <w:lang w:bidi="ar"/>
        </w:rPr>
        <w:t>为</w:t>
      </w:r>
      <w:r>
        <w:rPr>
          <w:rFonts w:hint="eastAsia"/>
          <w:color w:val="auto"/>
          <w:highlight w:val="none"/>
          <w:lang w:val="zh-CN"/>
        </w:rPr>
        <w:t>提高财政资金使用效益，</w:t>
      </w:r>
      <w:r>
        <w:rPr>
          <w:rFonts w:hint="eastAsia" w:ascii="Times New Roman" w:hAnsi="Times New Roman"/>
          <w:highlight w:val="none"/>
          <w:lang w:bidi="ar"/>
        </w:rPr>
        <w:t>考核资金预期绩效目标的实现程度、支出效率和综合效果，进一步提高财政支出的管理水平，根据《潮州市潮安区人民政府办公室印发&lt;关于全面实施预算绩效管理的实施意见&gt;的通知》</w:t>
      </w:r>
      <w:r>
        <w:rPr>
          <w:rFonts w:hint="eastAsia"/>
          <w:highlight w:val="none"/>
          <w:lang w:eastAsia="zh-CN" w:bidi="ar"/>
        </w:rPr>
        <w:t>（</w:t>
      </w:r>
      <w:r>
        <w:rPr>
          <w:rFonts w:hint="eastAsia" w:ascii="Times New Roman" w:hAnsi="Times New Roman"/>
          <w:highlight w:val="none"/>
          <w:lang w:bidi="ar"/>
        </w:rPr>
        <w:t>安府办〔202</w:t>
      </w:r>
      <w:r>
        <w:rPr>
          <w:rFonts w:hint="eastAsia"/>
          <w:highlight w:val="none"/>
          <w:lang w:val="en-US" w:eastAsia="zh-CN" w:bidi="ar"/>
        </w:rPr>
        <w:t>0</w:t>
      </w:r>
      <w:r>
        <w:rPr>
          <w:rFonts w:hint="eastAsia" w:ascii="Times New Roman" w:hAnsi="Times New Roman"/>
          <w:highlight w:val="none"/>
          <w:lang w:bidi="ar"/>
        </w:rPr>
        <w:t>〕49号</w:t>
      </w:r>
      <w:r>
        <w:rPr>
          <w:rFonts w:hint="eastAsia"/>
          <w:highlight w:val="none"/>
          <w:lang w:eastAsia="zh-CN" w:bidi="ar"/>
        </w:rPr>
        <w:t>）</w:t>
      </w:r>
      <w:r>
        <w:rPr>
          <w:rFonts w:hint="eastAsia" w:ascii="Times New Roman" w:hAnsi="Times New Roman"/>
          <w:highlight w:val="none"/>
          <w:lang w:bidi="ar"/>
        </w:rPr>
        <w:t>、</w:t>
      </w:r>
      <w:r>
        <w:rPr>
          <w:rFonts w:hint="eastAsia"/>
          <w:highlight w:val="none"/>
          <w:lang w:val="en-US" w:eastAsia="zh-CN" w:bidi="ar"/>
        </w:rPr>
        <w:t>财政部</w:t>
      </w:r>
      <w:r>
        <w:rPr>
          <w:rFonts w:hint="eastAsia" w:ascii="Times New Roman" w:hAnsi="Times New Roman"/>
          <w:highlight w:val="none"/>
          <w:lang w:bidi="ar"/>
        </w:rPr>
        <w:t>《关于印发&lt;项目支出绩效评价管理办法&gt;的通知》</w:t>
      </w:r>
      <w:r>
        <w:rPr>
          <w:rFonts w:hint="eastAsia" w:ascii="Times New Roman" w:hAnsi="Times New Roman"/>
          <w:highlight w:val="none"/>
          <w:lang w:eastAsia="zh-CN" w:bidi="ar"/>
        </w:rPr>
        <w:t>（</w:t>
      </w:r>
      <w:r>
        <w:rPr>
          <w:rFonts w:hint="eastAsia" w:ascii="Times New Roman" w:hAnsi="Times New Roman"/>
          <w:highlight w:val="none"/>
          <w:lang w:bidi="ar"/>
        </w:rPr>
        <w:t>财预〔202</w:t>
      </w:r>
      <w:r>
        <w:rPr>
          <w:rFonts w:hint="eastAsia"/>
          <w:highlight w:val="none"/>
          <w:lang w:val="en-US" w:eastAsia="zh-CN" w:bidi="ar"/>
        </w:rPr>
        <w:t>0</w:t>
      </w:r>
      <w:r>
        <w:rPr>
          <w:rFonts w:hint="eastAsia" w:ascii="Times New Roman" w:hAnsi="Times New Roman"/>
          <w:highlight w:val="none"/>
          <w:lang w:bidi="ar"/>
        </w:rPr>
        <w:t>〕</w:t>
      </w:r>
      <w:r>
        <w:rPr>
          <w:rFonts w:hint="eastAsia"/>
          <w:highlight w:val="none"/>
          <w:lang w:val="en-US" w:eastAsia="zh-CN" w:bidi="ar"/>
        </w:rPr>
        <w:t>1</w:t>
      </w:r>
      <w:r>
        <w:rPr>
          <w:rFonts w:hint="eastAsia" w:ascii="Times New Roman" w:hAnsi="Times New Roman"/>
          <w:highlight w:val="none"/>
          <w:lang w:bidi="ar"/>
        </w:rPr>
        <w:t>0号</w:t>
      </w:r>
      <w:r>
        <w:rPr>
          <w:rFonts w:hint="eastAsia" w:ascii="Times New Roman" w:hAnsi="Times New Roman"/>
          <w:highlight w:val="none"/>
          <w:lang w:eastAsia="zh-CN" w:bidi="ar"/>
        </w:rPr>
        <w:t>）</w:t>
      </w:r>
      <w:r>
        <w:rPr>
          <w:rFonts w:hint="eastAsia" w:ascii="Times New Roman" w:hAnsi="Times New Roman"/>
          <w:highlight w:val="none"/>
          <w:lang w:val="en-US" w:eastAsia="zh-CN" w:bidi="ar"/>
        </w:rPr>
        <w:t>等文件关于</w:t>
      </w:r>
      <w:r>
        <w:rPr>
          <w:rFonts w:hint="eastAsia" w:ascii="Times New Roman" w:hAnsi="Times New Roman"/>
          <w:highlight w:val="none"/>
          <w:lang w:bidi="ar"/>
        </w:rPr>
        <w:t>预算绩效管理的规定，北京博思恒效咨询有限公司（以下简称“博思</w:t>
      </w:r>
      <w:r>
        <w:rPr>
          <w:rFonts w:hint="eastAsia"/>
          <w:highlight w:val="none"/>
          <w:lang w:val="en-US" w:eastAsia="zh-CN" w:bidi="ar"/>
        </w:rPr>
        <w:t>恒效</w:t>
      </w:r>
      <w:r>
        <w:rPr>
          <w:rFonts w:hint="eastAsia" w:ascii="Times New Roman" w:hAnsi="Times New Roman"/>
          <w:highlight w:val="none"/>
          <w:lang w:bidi="ar"/>
        </w:rPr>
        <w:t>”）接受潮安区财政局委托，对</w:t>
      </w:r>
      <w:r>
        <w:rPr>
          <w:rFonts w:hint="eastAsia"/>
          <w:highlight w:val="none"/>
          <w:lang w:eastAsia="zh-CN" w:bidi="ar"/>
        </w:rPr>
        <w:t>2022</w:t>
      </w:r>
      <w:r>
        <w:rPr>
          <w:rFonts w:hint="eastAsia" w:ascii="Times New Roman" w:hAnsi="Times New Roman"/>
          <w:highlight w:val="none"/>
          <w:lang w:bidi="ar"/>
        </w:rPr>
        <w:t>年下拨的“</w:t>
      </w:r>
      <w:r>
        <w:rPr>
          <w:rFonts w:hint="eastAsia"/>
          <w:highlight w:val="none"/>
          <w:lang w:val="en-US" w:eastAsia="zh-CN" w:bidi="ar"/>
        </w:rPr>
        <w:t>区级公共卫生应急物资采购项目</w:t>
      </w:r>
      <w:r>
        <w:rPr>
          <w:rFonts w:hint="eastAsia" w:ascii="Times New Roman" w:hAnsi="Times New Roman"/>
          <w:highlight w:val="none"/>
          <w:lang w:bidi="ar"/>
        </w:rPr>
        <w:t>”实施了重点绩效评价。评价基准日为2023年3月31日。</w:t>
      </w:r>
    </w:p>
    <w:p>
      <w:pPr>
        <w:ind w:firstLine="640"/>
        <w:rPr>
          <w:rFonts w:hint="eastAsia" w:ascii="Times New Roman" w:hAnsi="Times New Roman"/>
          <w:highlight w:val="none"/>
          <w:lang w:bidi="ar"/>
        </w:rPr>
      </w:pPr>
      <w:r>
        <w:rPr>
          <w:rFonts w:hint="eastAsia" w:ascii="Times New Roman" w:hAnsi="Times New Roman"/>
          <w:highlight w:val="none"/>
          <w:lang w:bidi="ar"/>
        </w:rPr>
        <w:t>综合被评价单位绩效自查、评价工作组对自评材料审核、现场评价，综合评定该项目绩效</w:t>
      </w:r>
      <w:r>
        <w:rPr>
          <w:rFonts w:hint="eastAsia" w:ascii="Times New Roman" w:hAnsi="Times New Roman"/>
          <w:highlight w:val="none"/>
          <w:lang w:val="en-US" w:eastAsia="zh-CN" w:bidi="ar"/>
        </w:rPr>
        <w:t>总</w:t>
      </w:r>
      <w:r>
        <w:rPr>
          <w:rFonts w:hint="eastAsia" w:ascii="Times New Roman" w:hAnsi="Times New Roman"/>
          <w:highlight w:val="none"/>
          <w:lang w:bidi="ar"/>
        </w:rPr>
        <w:t>分为</w:t>
      </w:r>
      <w:r>
        <w:rPr>
          <w:rFonts w:hint="eastAsia"/>
          <w:highlight w:val="none"/>
          <w:lang w:val="en-US" w:eastAsia="zh-CN" w:bidi="ar"/>
        </w:rPr>
        <w:t>82.5</w:t>
      </w:r>
      <w:r>
        <w:rPr>
          <w:rFonts w:hint="eastAsia" w:ascii="Times New Roman" w:hAnsi="Times New Roman"/>
          <w:highlight w:val="none"/>
          <w:lang w:bidi="ar"/>
        </w:rPr>
        <w:t>分，评价结果等级为“</w:t>
      </w:r>
      <w:r>
        <w:rPr>
          <w:rFonts w:hint="eastAsia"/>
          <w:highlight w:val="none"/>
          <w:lang w:val="en-US" w:eastAsia="zh-CN" w:bidi="ar"/>
        </w:rPr>
        <w:t>良</w:t>
      </w:r>
      <w:r>
        <w:rPr>
          <w:rFonts w:hint="eastAsia" w:ascii="Times New Roman" w:hAnsi="Times New Roman"/>
          <w:highlight w:val="none"/>
          <w:lang w:bidi="ar"/>
        </w:rPr>
        <w:t>”。具体情况如下：</w:t>
      </w:r>
    </w:p>
    <w:p>
      <w:pPr>
        <w:pStyle w:val="2"/>
        <w:spacing w:before="156" w:after="156"/>
        <w:ind w:firstLine="640"/>
        <w:rPr>
          <w:rFonts w:ascii="Times New Roman" w:hAnsi="Times New Roman"/>
          <w:highlight w:val="none"/>
        </w:rPr>
      </w:pPr>
      <w:bookmarkStart w:id="1" w:name="_Toc8245"/>
      <w:bookmarkStart w:id="2" w:name="_Toc16399"/>
      <w:r>
        <w:rPr>
          <w:rFonts w:hint="eastAsia" w:ascii="Times New Roman" w:hAnsi="Times New Roman"/>
          <w:highlight w:val="none"/>
        </w:rPr>
        <w:t>一、基本情况</w:t>
      </w:r>
      <w:bookmarkEnd w:id="1"/>
      <w:bookmarkEnd w:id="2"/>
    </w:p>
    <w:p>
      <w:pPr>
        <w:pStyle w:val="3"/>
        <w:spacing w:before="156" w:after="156"/>
        <w:ind w:firstLine="643"/>
        <w:rPr>
          <w:rFonts w:ascii="Times New Roman" w:hAnsi="Times New Roman"/>
          <w:highlight w:val="none"/>
        </w:rPr>
      </w:pPr>
      <w:bookmarkStart w:id="3" w:name="_Toc25514"/>
      <w:bookmarkStart w:id="4" w:name="_Toc19637"/>
      <w:r>
        <w:rPr>
          <w:rFonts w:hint="eastAsia" w:ascii="Times New Roman" w:hAnsi="Times New Roman"/>
          <w:highlight w:val="none"/>
        </w:rPr>
        <w:t>（一）项目基本情况</w:t>
      </w:r>
      <w:bookmarkEnd w:id="3"/>
      <w:bookmarkEnd w:id="4"/>
    </w:p>
    <w:p>
      <w:pPr>
        <w:ind w:firstLine="643"/>
        <w:outlineLvl w:val="2"/>
        <w:rPr>
          <w:rFonts w:ascii="Times New Roman" w:hAnsi="Times New Roman"/>
          <w:b/>
          <w:bCs/>
          <w:highlight w:val="none"/>
        </w:rPr>
      </w:pPr>
      <w:r>
        <w:rPr>
          <w:rFonts w:hint="eastAsia" w:ascii="Times New Roman" w:hAnsi="Times New Roman"/>
          <w:b/>
          <w:bCs/>
          <w:highlight w:val="none"/>
        </w:rPr>
        <w:t>1.项目背景</w:t>
      </w:r>
    </w:p>
    <w:p>
      <w:pPr>
        <w:keepLines w:val="0"/>
        <w:pageBreakBefore w:val="0"/>
        <w:widowControl w:val="0"/>
        <w:kinsoku/>
        <w:wordWrap/>
        <w:overflowPunct/>
        <w:topLinePunct w:val="0"/>
        <w:autoSpaceDE/>
        <w:autoSpaceDN/>
        <w:bidi w:val="0"/>
        <w:adjustRightInd/>
        <w:snapToGrid/>
        <w:spacing w:line="560" w:lineRule="exact"/>
        <w:ind w:firstLine="640"/>
        <w:rPr>
          <w:rFonts w:hint="eastAsia" w:ascii="Times New Roman" w:hAnsi="Times New Roman"/>
          <w:highlight w:val="none"/>
          <w:lang w:val="zh-CN" w:bidi="ar"/>
        </w:rPr>
      </w:pPr>
      <w:r>
        <w:rPr>
          <w:rFonts w:hint="eastAsia" w:ascii="Times New Roman" w:hAnsi="Times New Roman"/>
          <w:highlight w:val="none"/>
          <w:lang w:bidi="ar"/>
        </w:rPr>
        <w:t>应急物资储备是国家储备的重要组成部分，是国家应急管理体系建设的重要内容，是防范化解重大风险的重要支撑。突发事件发生时，健全的应急储备体系</w:t>
      </w:r>
      <w:r>
        <w:rPr>
          <w:rFonts w:hint="eastAsia"/>
          <w:highlight w:val="none"/>
          <w:lang w:eastAsia="zh-CN" w:bidi="ar"/>
        </w:rPr>
        <w:t>、</w:t>
      </w:r>
      <w:r>
        <w:rPr>
          <w:rFonts w:hint="eastAsia" w:ascii="Times New Roman" w:hAnsi="Times New Roman"/>
          <w:highlight w:val="none"/>
          <w:lang w:bidi="ar"/>
        </w:rPr>
        <w:t>充足的应急物资储备可以对突发事件带来的负面影响起到缓冲作用，发挥出保供“稳定器”作用和“蓄水池”功能</w:t>
      </w:r>
      <w:r>
        <w:rPr>
          <w:rFonts w:hint="eastAsia" w:ascii="Times New Roman" w:hAnsi="Times New Roman"/>
          <w:highlight w:val="none"/>
          <w:lang w:val="zh-CN" w:bidi="ar"/>
        </w:rPr>
        <w:t>。</w:t>
      </w:r>
    </w:p>
    <w:p>
      <w:pPr>
        <w:keepLines w:val="0"/>
        <w:pageBreakBefore w:val="0"/>
        <w:widowControl w:val="0"/>
        <w:kinsoku/>
        <w:wordWrap/>
        <w:overflowPunct/>
        <w:topLinePunct w:val="0"/>
        <w:autoSpaceDE/>
        <w:autoSpaceDN/>
        <w:bidi w:val="0"/>
        <w:adjustRightInd/>
        <w:snapToGrid/>
        <w:spacing w:line="560" w:lineRule="exact"/>
        <w:ind w:firstLine="640"/>
        <w:rPr>
          <w:rFonts w:hint="eastAsia" w:ascii="Times New Roman" w:cs="Times New Roman"/>
          <w:b w:val="0"/>
          <w:bCs w:val="0"/>
          <w:kern w:val="2"/>
          <w:sz w:val="32"/>
          <w:szCs w:val="24"/>
          <w:highlight w:val="none"/>
          <w:lang w:val="zh-CN" w:eastAsia="zh-CN" w:bidi="ar"/>
        </w:rPr>
      </w:pPr>
      <w:r>
        <w:rPr>
          <w:rFonts w:hint="eastAsia" w:ascii="Times New Roman" w:cs="Times New Roman"/>
          <w:b w:val="0"/>
          <w:bCs w:val="0"/>
          <w:kern w:val="2"/>
          <w:sz w:val="32"/>
          <w:szCs w:val="24"/>
          <w:highlight w:val="none"/>
          <w:lang w:val="en-US" w:eastAsia="zh-CN" w:bidi="ar"/>
        </w:rPr>
        <w:t>2022年1月11日，</w:t>
      </w:r>
      <w:r>
        <w:rPr>
          <w:rFonts w:hint="eastAsia" w:ascii="Times New Roman" w:hAnsi="Times New Roman" w:eastAsia="仿宋_GB2312" w:cs="Times New Roman"/>
          <w:b w:val="0"/>
          <w:bCs w:val="0"/>
          <w:kern w:val="2"/>
          <w:sz w:val="32"/>
          <w:szCs w:val="24"/>
          <w:highlight w:val="none"/>
          <w:lang w:val="zh-CN" w:eastAsia="zh-CN" w:bidi="ar"/>
        </w:rPr>
        <w:t>根据</w:t>
      </w:r>
      <w:r>
        <w:rPr>
          <w:rFonts w:hint="eastAsia" w:ascii="Times New Roman" w:cs="Times New Roman"/>
          <w:b w:val="0"/>
          <w:bCs w:val="0"/>
          <w:kern w:val="2"/>
          <w:sz w:val="32"/>
          <w:szCs w:val="24"/>
          <w:highlight w:val="none"/>
          <w:lang w:val="en-US" w:eastAsia="zh-CN" w:bidi="ar"/>
        </w:rPr>
        <w:t>潮州</w:t>
      </w:r>
      <w:r>
        <w:rPr>
          <w:rFonts w:hint="eastAsia" w:ascii="Times New Roman" w:hAnsi="Times New Roman" w:eastAsia="仿宋_GB2312" w:cs="Times New Roman"/>
          <w:b w:val="0"/>
          <w:bCs w:val="0"/>
          <w:kern w:val="2"/>
          <w:sz w:val="32"/>
          <w:szCs w:val="24"/>
          <w:highlight w:val="none"/>
          <w:lang w:val="zh-CN" w:eastAsia="zh-CN" w:bidi="ar"/>
        </w:rPr>
        <w:t>市防控物资保障组《关于印发潮州市新冠肺炎防控指挥办防控物资保障组物资管理办法的通知》的文件精神和</w:t>
      </w:r>
      <w:r>
        <w:rPr>
          <w:rFonts w:hint="eastAsia" w:ascii="Times New Roman" w:cs="Times New Roman"/>
          <w:b w:val="0"/>
          <w:bCs w:val="0"/>
          <w:kern w:val="2"/>
          <w:sz w:val="32"/>
          <w:szCs w:val="24"/>
          <w:highlight w:val="none"/>
          <w:lang w:val="en-US" w:eastAsia="zh-CN" w:bidi="ar"/>
        </w:rPr>
        <w:t>潮安</w:t>
      </w:r>
      <w:r>
        <w:rPr>
          <w:rFonts w:hint="eastAsia" w:ascii="Times New Roman" w:hAnsi="Times New Roman" w:eastAsia="仿宋_GB2312" w:cs="Times New Roman"/>
          <w:b w:val="0"/>
          <w:bCs w:val="0"/>
          <w:kern w:val="2"/>
          <w:sz w:val="32"/>
          <w:szCs w:val="24"/>
          <w:highlight w:val="none"/>
          <w:lang w:val="zh-CN" w:eastAsia="zh-CN" w:bidi="ar"/>
        </w:rPr>
        <w:t>区政府领导批示精神，潮安区防控办物资保障组</w:t>
      </w:r>
      <w:r>
        <w:rPr>
          <w:rFonts w:hint="eastAsia" w:cs="Times New Roman"/>
          <w:b w:val="0"/>
          <w:bCs w:val="0"/>
          <w:kern w:val="2"/>
          <w:sz w:val="32"/>
          <w:szCs w:val="24"/>
          <w:highlight w:val="none"/>
          <w:lang w:val="zh-CN" w:eastAsia="zh-CN" w:bidi="ar"/>
        </w:rPr>
        <w:t>制定了</w:t>
      </w:r>
      <w:r>
        <w:rPr>
          <w:rFonts w:hint="eastAsia" w:ascii="Times New Roman" w:hAnsi="Times New Roman" w:eastAsia="仿宋_GB2312" w:cs="Times New Roman"/>
          <w:b w:val="0"/>
          <w:bCs w:val="0"/>
          <w:kern w:val="2"/>
          <w:sz w:val="32"/>
          <w:szCs w:val="24"/>
          <w:highlight w:val="none"/>
          <w:lang w:val="zh-CN" w:eastAsia="zh-CN" w:bidi="ar"/>
        </w:rPr>
        <w:t>《潮安区新冠肺炎防控指挥办防控物资保障组物资管理办法》</w:t>
      </w:r>
      <w:r>
        <w:rPr>
          <w:rFonts w:hint="eastAsia" w:ascii="Times New Roman" w:cs="Times New Roman"/>
          <w:b w:val="0"/>
          <w:bCs w:val="0"/>
          <w:kern w:val="2"/>
          <w:sz w:val="32"/>
          <w:szCs w:val="24"/>
          <w:highlight w:val="none"/>
          <w:lang w:val="zh-CN" w:eastAsia="zh-CN" w:bidi="ar"/>
        </w:rPr>
        <w:t>，</w:t>
      </w:r>
      <w:r>
        <w:rPr>
          <w:rFonts w:hint="eastAsia" w:ascii="Times New Roman" w:cs="Times New Roman"/>
          <w:b w:val="0"/>
          <w:bCs w:val="0"/>
          <w:kern w:val="2"/>
          <w:sz w:val="32"/>
          <w:szCs w:val="24"/>
          <w:highlight w:val="none"/>
          <w:lang w:val="en-US" w:eastAsia="zh-CN" w:bidi="ar"/>
        </w:rPr>
        <w:t>依据文件精神，潮安</w:t>
      </w:r>
      <w:r>
        <w:rPr>
          <w:rFonts w:hint="eastAsia" w:ascii="Times New Roman" w:cs="Times New Roman"/>
          <w:b w:val="0"/>
          <w:bCs w:val="0"/>
          <w:kern w:val="2"/>
          <w:sz w:val="32"/>
          <w:szCs w:val="24"/>
          <w:highlight w:val="none"/>
          <w:lang w:val="zh-CN" w:eastAsia="zh-CN" w:bidi="ar"/>
        </w:rPr>
        <w:t>区防控办各工作组、专班开展防控工作时使用的物资由</w:t>
      </w:r>
      <w:r>
        <w:rPr>
          <w:rFonts w:hint="eastAsia" w:ascii="Times New Roman" w:cs="Times New Roman"/>
          <w:b w:val="0"/>
          <w:bCs w:val="0"/>
          <w:kern w:val="2"/>
          <w:sz w:val="32"/>
          <w:szCs w:val="24"/>
          <w:highlight w:val="none"/>
          <w:lang w:val="en-US" w:eastAsia="zh-CN" w:bidi="ar"/>
        </w:rPr>
        <w:t>潮安</w:t>
      </w:r>
      <w:r>
        <w:rPr>
          <w:rFonts w:hint="eastAsia" w:ascii="Times New Roman" w:cs="Times New Roman"/>
          <w:b w:val="0"/>
          <w:bCs w:val="0"/>
          <w:kern w:val="2"/>
          <w:sz w:val="32"/>
          <w:szCs w:val="24"/>
          <w:highlight w:val="none"/>
          <w:lang w:val="zh-CN" w:eastAsia="zh-CN" w:bidi="ar"/>
        </w:rPr>
        <w:t>区</w:t>
      </w:r>
      <w:r>
        <w:rPr>
          <w:rFonts w:hint="eastAsia" w:ascii="Times New Roman" w:cs="Times New Roman"/>
          <w:b w:val="0"/>
          <w:bCs w:val="0"/>
          <w:kern w:val="2"/>
          <w:sz w:val="32"/>
          <w:szCs w:val="24"/>
          <w:highlight w:val="none"/>
          <w:lang w:val="en-US" w:eastAsia="zh-CN" w:bidi="ar"/>
        </w:rPr>
        <w:t>发展和改革</w:t>
      </w:r>
      <w:r>
        <w:rPr>
          <w:rFonts w:hint="eastAsia" w:ascii="Times New Roman" w:hAnsi="Times New Roman" w:cs="Times New Roman"/>
          <w:b w:val="0"/>
          <w:bCs w:val="0"/>
          <w:kern w:val="2"/>
          <w:sz w:val="32"/>
          <w:szCs w:val="24"/>
          <w:highlight w:val="none"/>
          <w:lang w:val="en-US" w:eastAsia="zh-CN" w:bidi="ar"/>
        </w:rPr>
        <w:t>局（以下简称“项目单位”）</w:t>
      </w:r>
      <w:r>
        <w:rPr>
          <w:rFonts w:hint="eastAsia" w:ascii="Times New Roman" w:hAnsi="Times New Roman" w:cs="Times New Roman"/>
          <w:b w:val="0"/>
          <w:bCs w:val="0"/>
          <w:kern w:val="2"/>
          <w:sz w:val="32"/>
          <w:szCs w:val="24"/>
          <w:highlight w:val="none"/>
          <w:lang w:val="zh-CN" w:eastAsia="zh-CN" w:bidi="ar"/>
        </w:rPr>
        <w:t>提</w:t>
      </w:r>
      <w:r>
        <w:rPr>
          <w:rFonts w:hint="eastAsia" w:ascii="Times New Roman" w:cs="Times New Roman"/>
          <w:b w:val="0"/>
          <w:bCs w:val="0"/>
          <w:kern w:val="2"/>
          <w:sz w:val="32"/>
          <w:szCs w:val="24"/>
          <w:highlight w:val="none"/>
          <w:lang w:val="zh-CN" w:eastAsia="zh-CN" w:bidi="ar"/>
        </w:rPr>
        <w:t>供。</w:t>
      </w:r>
    </w:p>
    <w:p>
      <w:pPr>
        <w:keepLines w:val="0"/>
        <w:pageBreakBefore w:val="0"/>
        <w:widowControl w:val="0"/>
        <w:kinsoku/>
        <w:wordWrap/>
        <w:overflowPunct/>
        <w:topLinePunct w:val="0"/>
        <w:autoSpaceDE/>
        <w:autoSpaceDN/>
        <w:bidi w:val="0"/>
        <w:adjustRightInd/>
        <w:snapToGrid/>
        <w:spacing w:line="560" w:lineRule="exact"/>
        <w:ind w:firstLine="640"/>
        <w:rPr>
          <w:rFonts w:hint="eastAsia" w:ascii="Times New Roman" w:hAnsi="Times New Roman" w:eastAsia="仿宋_GB2312" w:cs="Times New Roman"/>
          <w:b w:val="0"/>
          <w:bCs w:val="0"/>
          <w:kern w:val="2"/>
          <w:sz w:val="32"/>
          <w:szCs w:val="24"/>
          <w:highlight w:val="none"/>
          <w:lang w:val="zh-CN" w:eastAsia="zh-CN" w:bidi="ar"/>
        </w:rPr>
      </w:pPr>
      <w:r>
        <w:rPr>
          <w:rFonts w:hint="eastAsia" w:ascii="Times New Roman" w:cs="Times New Roman"/>
          <w:b w:val="0"/>
          <w:bCs w:val="0"/>
          <w:kern w:val="2"/>
          <w:sz w:val="32"/>
          <w:szCs w:val="24"/>
          <w:highlight w:val="none"/>
          <w:lang w:val="zh-CN" w:eastAsia="zh-CN" w:bidi="ar"/>
        </w:rPr>
        <w:t>根据潮安区人民政府《批转&lt;关于要求审定区级公共卫生应急物资社会防疫政府储备指导目录及数量的请示&gt;的通知》（安府〔202</w:t>
      </w:r>
      <w:r>
        <w:rPr>
          <w:rFonts w:hint="eastAsia" w:ascii="Times New Roman" w:cs="Times New Roman"/>
          <w:b w:val="0"/>
          <w:bCs w:val="0"/>
          <w:kern w:val="2"/>
          <w:sz w:val="32"/>
          <w:szCs w:val="24"/>
          <w:highlight w:val="none"/>
          <w:lang w:val="en-US" w:eastAsia="zh-CN" w:bidi="ar"/>
        </w:rPr>
        <w:t>1</w:t>
      </w:r>
      <w:r>
        <w:rPr>
          <w:rFonts w:hint="eastAsia" w:ascii="Times New Roman" w:cs="Times New Roman"/>
          <w:b w:val="0"/>
          <w:bCs w:val="0"/>
          <w:kern w:val="2"/>
          <w:sz w:val="32"/>
          <w:szCs w:val="24"/>
          <w:highlight w:val="none"/>
          <w:lang w:val="zh-CN" w:eastAsia="zh-CN" w:bidi="ar"/>
        </w:rPr>
        <w:t>〕36号）</w:t>
      </w:r>
      <w:r>
        <w:rPr>
          <w:rFonts w:hint="eastAsia" w:cs="Times New Roman"/>
          <w:b w:val="0"/>
          <w:bCs w:val="0"/>
          <w:kern w:val="2"/>
          <w:sz w:val="32"/>
          <w:szCs w:val="24"/>
          <w:highlight w:val="none"/>
          <w:lang w:val="zh-CN" w:eastAsia="zh-CN" w:bidi="ar"/>
        </w:rPr>
        <w:t>、</w:t>
      </w:r>
      <w:r>
        <w:rPr>
          <w:rFonts w:hint="eastAsia" w:cs="Times New Roman"/>
          <w:b w:val="0"/>
          <w:bCs w:val="0"/>
          <w:kern w:val="2"/>
          <w:sz w:val="32"/>
          <w:szCs w:val="24"/>
          <w:highlight w:val="none"/>
          <w:lang w:val="en-US" w:eastAsia="zh-CN" w:bidi="ar"/>
        </w:rPr>
        <w:t>区卫健局《关于防控物资应急储备的函》（</w:t>
      </w:r>
      <w:r>
        <w:rPr>
          <w:rFonts w:hint="eastAsia" w:ascii="Times New Roman" w:cs="Times New Roman"/>
          <w:b w:val="0"/>
          <w:bCs w:val="0"/>
          <w:kern w:val="2"/>
          <w:sz w:val="32"/>
          <w:szCs w:val="24"/>
          <w:highlight w:val="none"/>
          <w:lang w:val="zh-CN" w:eastAsia="zh-CN" w:bidi="ar"/>
        </w:rPr>
        <w:t>安</w:t>
      </w:r>
      <w:r>
        <w:rPr>
          <w:rFonts w:hint="eastAsia" w:cs="Times New Roman"/>
          <w:b w:val="0"/>
          <w:bCs w:val="0"/>
          <w:kern w:val="2"/>
          <w:sz w:val="32"/>
          <w:szCs w:val="24"/>
          <w:highlight w:val="none"/>
          <w:lang w:val="en-US" w:eastAsia="zh-CN" w:bidi="ar"/>
        </w:rPr>
        <w:t>卫函</w:t>
      </w:r>
      <w:r>
        <w:rPr>
          <w:rFonts w:hint="eastAsia" w:ascii="Times New Roman" w:cs="Times New Roman"/>
          <w:b w:val="0"/>
          <w:bCs w:val="0"/>
          <w:kern w:val="2"/>
          <w:sz w:val="32"/>
          <w:szCs w:val="24"/>
          <w:highlight w:val="none"/>
          <w:lang w:val="zh-CN" w:eastAsia="zh-CN" w:bidi="ar"/>
        </w:rPr>
        <w:t>〔202</w:t>
      </w:r>
      <w:r>
        <w:rPr>
          <w:rFonts w:hint="eastAsia" w:cs="Times New Roman"/>
          <w:b w:val="0"/>
          <w:bCs w:val="0"/>
          <w:kern w:val="2"/>
          <w:sz w:val="32"/>
          <w:szCs w:val="24"/>
          <w:highlight w:val="none"/>
          <w:lang w:val="en-US" w:eastAsia="zh-CN" w:bidi="ar"/>
        </w:rPr>
        <w:t>2</w:t>
      </w:r>
      <w:r>
        <w:rPr>
          <w:rFonts w:hint="eastAsia" w:ascii="Times New Roman" w:cs="Times New Roman"/>
          <w:b w:val="0"/>
          <w:bCs w:val="0"/>
          <w:kern w:val="2"/>
          <w:sz w:val="32"/>
          <w:szCs w:val="24"/>
          <w:highlight w:val="none"/>
          <w:lang w:val="zh-CN" w:eastAsia="zh-CN" w:bidi="ar"/>
        </w:rPr>
        <w:t>〕</w:t>
      </w:r>
      <w:r>
        <w:rPr>
          <w:rFonts w:hint="eastAsia" w:cs="Times New Roman"/>
          <w:b w:val="0"/>
          <w:bCs w:val="0"/>
          <w:kern w:val="2"/>
          <w:sz w:val="32"/>
          <w:szCs w:val="24"/>
          <w:highlight w:val="none"/>
          <w:lang w:val="en-US" w:eastAsia="zh-CN" w:bidi="ar"/>
        </w:rPr>
        <w:t>1</w:t>
      </w:r>
      <w:r>
        <w:rPr>
          <w:rFonts w:hint="eastAsia" w:ascii="Times New Roman" w:cs="Times New Roman"/>
          <w:b w:val="0"/>
          <w:bCs w:val="0"/>
          <w:kern w:val="2"/>
          <w:sz w:val="32"/>
          <w:szCs w:val="24"/>
          <w:highlight w:val="none"/>
          <w:lang w:val="zh-CN" w:eastAsia="zh-CN" w:bidi="ar"/>
        </w:rPr>
        <w:t>号</w:t>
      </w:r>
      <w:r>
        <w:rPr>
          <w:rFonts w:hint="eastAsia" w:cs="Times New Roman"/>
          <w:b w:val="0"/>
          <w:bCs w:val="0"/>
          <w:kern w:val="2"/>
          <w:sz w:val="32"/>
          <w:szCs w:val="24"/>
          <w:highlight w:val="none"/>
          <w:lang w:val="en-US" w:eastAsia="zh-CN" w:bidi="ar"/>
        </w:rPr>
        <w:t>）</w:t>
      </w:r>
      <w:r>
        <w:rPr>
          <w:rFonts w:hint="eastAsia" w:ascii="Times New Roman" w:cs="Times New Roman"/>
          <w:b w:val="0"/>
          <w:bCs w:val="0"/>
          <w:kern w:val="2"/>
          <w:sz w:val="32"/>
          <w:szCs w:val="24"/>
          <w:highlight w:val="none"/>
          <w:lang w:val="zh-CN" w:eastAsia="zh-CN" w:bidi="ar"/>
        </w:rPr>
        <w:t>，</w:t>
      </w:r>
      <w:r>
        <w:rPr>
          <w:rFonts w:hint="eastAsia" w:ascii="Times New Roman" w:hAnsi="Times New Roman" w:cs="Times New Roman"/>
          <w:b w:val="0"/>
          <w:bCs w:val="0"/>
          <w:kern w:val="2"/>
          <w:sz w:val="32"/>
          <w:szCs w:val="24"/>
          <w:highlight w:val="none"/>
          <w:lang w:val="en-US" w:eastAsia="zh-CN" w:bidi="ar"/>
        </w:rPr>
        <w:t>项目单位拟按潮安区公共卫生应急物资社会防疫政府储备指导目录要求储备量的30%，购进区级公共卫生应急物资以及部分防控物资</w:t>
      </w:r>
      <w:r>
        <w:rPr>
          <w:rFonts w:hint="eastAsia" w:ascii="Times New Roman" w:hAnsi="Times New Roman" w:cs="Times New Roman"/>
          <w:b w:val="0"/>
          <w:bCs w:val="0"/>
          <w:kern w:val="2"/>
          <w:sz w:val="32"/>
          <w:szCs w:val="24"/>
          <w:highlight w:val="none"/>
          <w:lang w:val="zh-CN" w:eastAsia="zh-CN" w:bidi="ar"/>
        </w:rPr>
        <w:t>。2022年区政府第4次常务会议同意</w:t>
      </w:r>
      <w:r>
        <w:rPr>
          <w:rFonts w:hint="eastAsia" w:cs="Times New Roman"/>
          <w:b w:val="0"/>
          <w:bCs w:val="0"/>
          <w:kern w:val="2"/>
          <w:sz w:val="32"/>
          <w:szCs w:val="24"/>
          <w:highlight w:val="none"/>
          <w:lang w:val="en-US" w:eastAsia="zh-CN" w:bidi="ar"/>
        </w:rPr>
        <w:t>项目单位上报的</w:t>
      </w:r>
      <w:r>
        <w:rPr>
          <w:rFonts w:hint="eastAsia" w:cs="Times New Roman"/>
          <w:b w:val="0"/>
          <w:bCs w:val="0"/>
          <w:kern w:val="2"/>
          <w:sz w:val="32"/>
          <w:szCs w:val="24"/>
          <w:highlight w:val="none"/>
          <w:lang w:val="zh-CN" w:eastAsia="zh-CN" w:bidi="ar"/>
        </w:rPr>
        <w:t>《</w:t>
      </w:r>
      <w:r>
        <w:rPr>
          <w:rFonts w:hint="eastAsia" w:ascii="Times New Roman" w:hAnsi="Times New Roman" w:cs="Times New Roman"/>
          <w:b w:val="0"/>
          <w:bCs w:val="0"/>
          <w:kern w:val="2"/>
          <w:sz w:val="32"/>
          <w:szCs w:val="24"/>
          <w:highlight w:val="none"/>
          <w:lang w:val="zh-CN" w:eastAsia="zh-CN" w:bidi="ar"/>
        </w:rPr>
        <w:t>关于开展区级公共卫生应急物资社会防疫政府储备工作的意见</w:t>
      </w:r>
      <w:r>
        <w:rPr>
          <w:rFonts w:hint="eastAsia" w:cs="Times New Roman"/>
          <w:b w:val="0"/>
          <w:bCs w:val="0"/>
          <w:kern w:val="2"/>
          <w:sz w:val="32"/>
          <w:szCs w:val="24"/>
          <w:highlight w:val="none"/>
          <w:lang w:val="zh-CN" w:eastAsia="zh-CN" w:bidi="ar"/>
        </w:rPr>
        <w:t>》</w:t>
      </w:r>
      <w:r>
        <w:rPr>
          <w:rFonts w:hint="eastAsia" w:cs="Times New Roman"/>
          <w:b w:val="0"/>
          <w:bCs w:val="0"/>
          <w:kern w:val="2"/>
          <w:sz w:val="32"/>
          <w:szCs w:val="24"/>
          <w:highlight w:val="none"/>
          <w:lang w:val="en-US" w:eastAsia="zh-CN" w:bidi="ar"/>
        </w:rPr>
        <w:t>（</w:t>
      </w:r>
      <w:r>
        <w:rPr>
          <w:rFonts w:hint="eastAsia" w:ascii="Times New Roman" w:hAnsi="Times New Roman" w:cs="Times New Roman"/>
          <w:b w:val="0"/>
          <w:bCs w:val="0"/>
          <w:kern w:val="2"/>
          <w:sz w:val="32"/>
          <w:szCs w:val="24"/>
          <w:highlight w:val="none"/>
          <w:lang w:val="zh-CN" w:eastAsia="zh-CN" w:bidi="ar"/>
        </w:rPr>
        <w:t>安发改粮〔2022〕2号</w:t>
      </w:r>
      <w:r>
        <w:rPr>
          <w:rFonts w:hint="eastAsia" w:cs="Times New Roman"/>
          <w:b w:val="0"/>
          <w:bCs w:val="0"/>
          <w:kern w:val="2"/>
          <w:sz w:val="32"/>
          <w:szCs w:val="24"/>
          <w:highlight w:val="none"/>
          <w:lang w:val="zh-CN" w:eastAsia="zh-CN" w:bidi="ar"/>
        </w:rPr>
        <w:t>）</w:t>
      </w:r>
      <w:r>
        <w:rPr>
          <w:rFonts w:hint="eastAsia" w:ascii="Times New Roman" w:hAnsi="Times New Roman" w:cs="Times New Roman"/>
          <w:b w:val="0"/>
          <w:bCs w:val="0"/>
          <w:kern w:val="2"/>
          <w:sz w:val="32"/>
          <w:szCs w:val="24"/>
          <w:highlight w:val="none"/>
          <w:lang w:val="zh-CN" w:eastAsia="zh-CN" w:bidi="ar"/>
        </w:rPr>
        <w:t>，</w:t>
      </w:r>
      <w:r>
        <w:rPr>
          <w:rFonts w:hint="eastAsia" w:cs="Times New Roman"/>
          <w:b w:val="0"/>
          <w:bCs w:val="0"/>
          <w:kern w:val="2"/>
          <w:sz w:val="32"/>
          <w:szCs w:val="24"/>
          <w:highlight w:val="none"/>
          <w:lang w:val="en-US" w:eastAsia="zh-CN" w:bidi="ar"/>
        </w:rPr>
        <w:t>明确</w:t>
      </w:r>
      <w:r>
        <w:rPr>
          <w:rFonts w:hint="eastAsia" w:ascii="Times New Roman" w:hAnsi="Times New Roman" w:cs="Times New Roman"/>
          <w:b w:val="0"/>
          <w:bCs w:val="0"/>
          <w:kern w:val="2"/>
          <w:sz w:val="32"/>
          <w:szCs w:val="24"/>
          <w:highlight w:val="none"/>
          <w:lang w:val="zh-CN" w:eastAsia="zh-CN" w:bidi="ar"/>
        </w:rPr>
        <w:t>由</w:t>
      </w:r>
      <w:r>
        <w:rPr>
          <w:rFonts w:hint="eastAsia" w:ascii="Times New Roman" w:hAnsi="Times New Roman" w:cs="Times New Roman"/>
          <w:b w:val="0"/>
          <w:bCs w:val="0"/>
          <w:kern w:val="2"/>
          <w:sz w:val="32"/>
          <w:szCs w:val="24"/>
          <w:highlight w:val="none"/>
          <w:lang w:val="en-US" w:eastAsia="zh-CN" w:bidi="ar"/>
        </w:rPr>
        <w:t>项目单位</w:t>
      </w:r>
      <w:r>
        <w:rPr>
          <w:rFonts w:hint="eastAsia" w:ascii="Times New Roman" w:hAnsi="Times New Roman" w:cs="Times New Roman"/>
          <w:b w:val="0"/>
          <w:bCs w:val="0"/>
          <w:kern w:val="2"/>
          <w:sz w:val="32"/>
          <w:szCs w:val="24"/>
          <w:highlight w:val="none"/>
          <w:lang w:val="zh-CN" w:eastAsia="zh-CN" w:bidi="ar"/>
        </w:rPr>
        <w:t>负责依法依规按程序组织实施。</w:t>
      </w:r>
    </w:p>
    <w:p>
      <w:pPr>
        <w:ind w:firstLine="643"/>
        <w:outlineLvl w:val="2"/>
        <w:rPr>
          <w:rFonts w:ascii="Times New Roman" w:hAnsi="Times New Roman"/>
          <w:b/>
          <w:bCs/>
          <w:color w:val="auto"/>
          <w:highlight w:val="none"/>
        </w:rPr>
      </w:pPr>
      <w:r>
        <w:rPr>
          <w:rFonts w:hint="eastAsia" w:ascii="Times New Roman" w:hAnsi="Times New Roman"/>
          <w:b/>
          <w:bCs/>
          <w:color w:val="auto"/>
          <w:highlight w:val="none"/>
        </w:rPr>
        <w:t>2.项目内容</w:t>
      </w:r>
    </w:p>
    <w:p>
      <w:pPr>
        <w:pStyle w:val="13"/>
        <w:ind w:left="0" w:leftChars="0" w:firstLine="640"/>
        <w:rPr>
          <w:rFonts w:hint="eastAsia"/>
          <w:color w:val="auto"/>
          <w:lang w:val="en-US" w:eastAsia="zh-CN"/>
        </w:rPr>
      </w:pPr>
      <w:r>
        <w:rPr>
          <w:rFonts w:hint="eastAsia"/>
          <w:highlight w:val="none"/>
          <w:lang w:val="en-US" w:eastAsia="zh-CN" w:bidi="ar"/>
        </w:rPr>
        <w:t>区级公共卫生应急物资采购项目</w:t>
      </w:r>
      <w:r>
        <w:rPr>
          <w:rFonts w:hint="eastAsia"/>
          <w:color w:val="auto"/>
          <w:lang w:val="en-US" w:eastAsia="zh-CN"/>
        </w:rPr>
        <w:t>内容主要为采购一批</w:t>
      </w:r>
      <w:r>
        <w:rPr>
          <w:rFonts w:hint="eastAsia" w:ascii="Times New Roman" w:hAnsi="Times New Roman" w:cs="Times New Roman"/>
          <w:b w:val="0"/>
          <w:bCs w:val="0"/>
          <w:kern w:val="2"/>
          <w:sz w:val="32"/>
          <w:szCs w:val="24"/>
          <w:highlight w:val="none"/>
          <w:lang w:val="en-US" w:eastAsia="zh-CN" w:bidi="ar"/>
        </w:rPr>
        <w:t>应急物资以及部分防控物资，包括防护眼罩、防护面罩、防护服、隔离衣、一次性手术帽、一次性橡胶手套、一次性鞋套等应急物资</w:t>
      </w:r>
      <w:r>
        <w:rPr>
          <w:rFonts w:hint="eastAsia"/>
          <w:color w:val="auto"/>
          <w:lang w:val="zh-CN"/>
        </w:rPr>
        <w:t>。</w:t>
      </w:r>
      <w:r>
        <w:rPr>
          <w:rFonts w:hint="eastAsia"/>
          <w:color w:val="auto"/>
          <w:lang w:val="en-US" w:eastAsia="zh-CN"/>
        </w:rPr>
        <w:t>项目实施单位为区发展和改革局，区储备粮管理中心、区安穗粮油贸易有限公司为相关单位，各单位具体职责任务如下：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ascii="Times New Roman" w:hAnsi="Times New Roman" w:eastAsia="幼圆"/>
          <w:b/>
          <w:sz w:val="24"/>
          <w:highlight w:val="none"/>
        </w:rPr>
        <w:t>表1-</w:t>
      </w:r>
      <w:r>
        <w:rPr>
          <w:rFonts w:hint="eastAsia" w:eastAsia="幼圆"/>
          <w:b/>
          <w:sz w:val="24"/>
          <w:highlight w:val="none"/>
          <w:lang w:val="en-US" w:eastAsia="zh-CN"/>
        </w:rPr>
        <w:t>1</w:t>
      </w:r>
      <w:r>
        <w:rPr>
          <w:rFonts w:hint="eastAsia" w:ascii="Times New Roman" w:hAnsi="Times New Roman" w:eastAsia="幼圆"/>
          <w:b/>
          <w:sz w:val="24"/>
          <w:highlight w:val="none"/>
        </w:rPr>
        <w:t xml:space="preserve">  </w:t>
      </w:r>
      <w:r>
        <w:rPr>
          <w:rFonts w:hint="eastAsia" w:eastAsia="幼圆"/>
          <w:b/>
          <w:sz w:val="24"/>
          <w:highlight w:val="none"/>
          <w:lang w:val="en-US" w:eastAsia="zh-CN"/>
        </w:rPr>
        <w:t>职责任务</w:t>
      </w:r>
      <w:r>
        <w:rPr>
          <w:rFonts w:hint="eastAsia" w:ascii="Times New Roman" w:hAnsi="Times New Roman" w:eastAsia="幼圆"/>
          <w:b/>
          <w:sz w:val="24"/>
          <w:highlight w:val="none"/>
        </w:rPr>
        <w:t>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36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序号</w:t>
            </w:r>
          </w:p>
        </w:tc>
        <w:tc>
          <w:tcPr>
            <w:tcW w:w="2366" w:type="dxa"/>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单位</w:t>
            </w:r>
          </w:p>
        </w:tc>
        <w:tc>
          <w:tcPr>
            <w:tcW w:w="5381" w:type="dxa"/>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职责任务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w:t>
            </w:r>
          </w:p>
        </w:tc>
        <w:tc>
          <w:tcPr>
            <w:tcW w:w="2366" w:type="dxa"/>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区发展和改革局</w:t>
            </w:r>
          </w:p>
        </w:tc>
        <w:tc>
          <w:tcPr>
            <w:tcW w:w="5381" w:type="dxa"/>
            <w:vAlign w:val="center"/>
          </w:tcPr>
          <w:p>
            <w:pPr>
              <w:widowControl/>
              <w:spacing w:line="240" w:lineRule="auto"/>
              <w:ind w:firstLine="0" w:firstLineChars="0"/>
              <w:jc w:val="both"/>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 xml:space="preserve">针对区级公共卫生应急物资社会防疫政府储备（以 </w:t>
            </w:r>
            <w:r>
              <w:rPr>
                <w:rFonts w:hint="default"/>
                <w:bCs/>
                <w:color w:val="000000"/>
                <w:kern w:val="0"/>
                <w:sz w:val="24"/>
                <w:highlight w:val="none"/>
                <w:lang w:val="en-US" w:eastAsia="zh-CN" w:bidi="ar"/>
              </w:rPr>
              <w:t>下简称“区级公卫物资”），区发展和改革局根据各申请单位请示文件或区防控办及上级有关文件要求进行审核并报区政府分管领导审定，审定同意后由区发展和改革局出具调拨凭证（紧急调拨时可通过微信、粤政易等通知调拨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2</w:t>
            </w:r>
          </w:p>
        </w:tc>
        <w:tc>
          <w:tcPr>
            <w:tcW w:w="2366" w:type="dxa"/>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default"/>
                <w:bCs/>
                <w:color w:val="000000"/>
                <w:kern w:val="0"/>
                <w:sz w:val="24"/>
                <w:highlight w:val="none"/>
                <w:lang w:val="en-US" w:eastAsia="zh-CN" w:bidi="ar"/>
              </w:rPr>
              <w:t>区储备粮管理中心</w:t>
            </w:r>
          </w:p>
        </w:tc>
        <w:tc>
          <w:tcPr>
            <w:tcW w:w="5381" w:type="dxa"/>
            <w:vAlign w:val="center"/>
          </w:tcPr>
          <w:p>
            <w:pPr>
              <w:widowControl/>
              <w:spacing w:line="240" w:lineRule="auto"/>
              <w:ind w:firstLine="0" w:firstLineChars="0"/>
              <w:jc w:val="both"/>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承担区级物资的日常管理，负责落实区级物资采购、入库、保管、出库等工作，并对区级物资储备数量和质量负责。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2366" w:type="dxa"/>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default"/>
                <w:bCs/>
                <w:color w:val="000000"/>
                <w:kern w:val="0"/>
                <w:sz w:val="24"/>
                <w:highlight w:val="none"/>
                <w:lang w:val="en-US" w:eastAsia="zh-CN" w:bidi="ar"/>
              </w:rPr>
              <w:t>区安穗粮油贸易有限公司</w:t>
            </w:r>
          </w:p>
        </w:tc>
        <w:tc>
          <w:tcPr>
            <w:tcW w:w="5381" w:type="dxa"/>
            <w:vAlign w:val="center"/>
          </w:tcPr>
          <w:p>
            <w:pPr>
              <w:widowControl/>
              <w:spacing w:line="240" w:lineRule="auto"/>
              <w:ind w:firstLine="0" w:firstLineChars="0"/>
              <w:jc w:val="both"/>
              <w:textAlignment w:val="center"/>
              <w:rPr>
                <w:rFonts w:hint="default"/>
                <w:bCs/>
                <w:color w:val="000000"/>
                <w:kern w:val="0"/>
                <w:sz w:val="24"/>
                <w:highlight w:val="none"/>
                <w:lang w:val="en-US" w:eastAsia="zh-CN" w:bidi="ar"/>
              </w:rPr>
            </w:pPr>
            <w:r>
              <w:rPr>
                <w:rFonts w:hint="default"/>
                <w:bCs/>
                <w:color w:val="000000"/>
                <w:kern w:val="0"/>
                <w:sz w:val="24"/>
                <w:highlight w:val="none"/>
                <w:lang w:val="en-US" w:eastAsia="zh-CN" w:bidi="ar"/>
              </w:rPr>
              <w:t>根据区发展和改革局《区防控物资调拨凭证》，做好仓库物资出库准备，做好交接工作。负责建立物资出库保管台账，并及时报送。</w:t>
            </w:r>
          </w:p>
        </w:tc>
      </w:tr>
    </w:tbl>
    <w:p>
      <w:pPr>
        <w:rPr>
          <w:rFonts w:hint="eastAsia"/>
          <w:lang w:val="en-US" w:eastAsia="zh-CN"/>
        </w:rPr>
      </w:pPr>
      <w:r>
        <w:rPr>
          <w:rFonts w:hint="eastAsia"/>
          <w:lang w:val="en-US" w:eastAsia="zh-CN"/>
        </w:rPr>
        <w:t>2022年3月8日，经局党组会议讨论，同意本项目分批购买物资。2022年3月17日，项目单位委托潮州市中正招投标代理有限公司采用公开招标方式进行第一次采购，中标供应商为潮州市潮安区众好科技有限公司，中标金额为322.91万元；2022年4月12日，项目单位与潮州市潮安区众好科技有限公司签订采购合同书，采购内容包括996副防护眼罩、996个防护面罩、4980件防护服等应急物资，合同约定全部货物自采购合同生效之日起30个日历天内交货，安装、调试并交付验收使用；根据验收报告，2022年6月20日采购物资到货，2022年6月22日确认验收。</w:t>
      </w:r>
    </w:p>
    <w:p>
      <w:pPr>
        <w:pStyle w:val="23"/>
        <w:keepNext/>
        <w:keepLines w:val="0"/>
        <w:pageBreakBefore w:val="0"/>
        <w:widowControl w:val="0"/>
        <w:kinsoku/>
        <w:wordWrap/>
        <w:overflowPunct/>
        <w:topLinePunct w:val="0"/>
        <w:autoSpaceDE/>
        <w:autoSpaceDN/>
        <w:bidi w:val="0"/>
        <w:adjustRightInd/>
        <w:snapToGrid/>
        <w:spacing w:line="560" w:lineRule="exact"/>
        <w:jc w:val="both"/>
        <w:textAlignment w:val="baseline"/>
        <w:rPr>
          <w:rFonts w:hint="eastAsia" w:ascii="Times New Roman" w:hAnsi="Times New Roman"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2022年</w:t>
      </w:r>
      <w:r>
        <w:rPr>
          <w:rFonts w:hint="eastAsia" w:ascii="Times New Roman" w:hAnsi="Times New Roman" w:cs="Times New Roman"/>
          <w:b w:val="0"/>
          <w:bCs w:val="0"/>
          <w:kern w:val="2"/>
          <w:sz w:val="32"/>
          <w:szCs w:val="24"/>
          <w:lang w:val="en-US" w:eastAsia="zh-CN" w:bidi="ar-SA"/>
        </w:rPr>
        <w:t>4</w:t>
      </w:r>
      <w:r>
        <w:rPr>
          <w:rFonts w:hint="eastAsia" w:ascii="Times New Roman" w:hAnsi="Times New Roman" w:eastAsia="仿宋_GB2312" w:cs="Times New Roman"/>
          <w:b w:val="0"/>
          <w:bCs w:val="0"/>
          <w:kern w:val="2"/>
          <w:sz w:val="32"/>
          <w:szCs w:val="24"/>
          <w:lang w:val="en-US" w:eastAsia="zh-CN" w:bidi="ar-SA"/>
        </w:rPr>
        <w:t>月</w:t>
      </w:r>
      <w:r>
        <w:rPr>
          <w:rFonts w:hint="eastAsia" w:ascii="Times New Roman" w:hAnsi="Times New Roman" w:cs="Times New Roman"/>
          <w:b w:val="0"/>
          <w:bCs w:val="0"/>
          <w:kern w:val="2"/>
          <w:sz w:val="32"/>
          <w:szCs w:val="24"/>
          <w:lang w:val="en-US" w:eastAsia="zh-CN" w:bidi="ar-SA"/>
        </w:rPr>
        <w:t>20</w:t>
      </w:r>
      <w:r>
        <w:rPr>
          <w:rFonts w:hint="eastAsia" w:ascii="Times New Roman" w:hAnsi="Times New Roman" w:eastAsia="仿宋_GB2312" w:cs="Times New Roman"/>
          <w:b w:val="0"/>
          <w:bCs w:val="0"/>
          <w:kern w:val="2"/>
          <w:sz w:val="32"/>
          <w:szCs w:val="24"/>
          <w:lang w:val="en-US" w:eastAsia="zh-CN" w:bidi="ar-SA"/>
        </w:rPr>
        <w:t>日，项目单位委托潮州市中正招投标代理有限公司对本项目采用公开招标方式进行第</w:t>
      </w:r>
      <w:r>
        <w:rPr>
          <w:rFonts w:hint="eastAsia" w:ascii="Times New Roman" w:hAnsi="Times New Roman" w:cs="Times New Roman"/>
          <w:b w:val="0"/>
          <w:bCs w:val="0"/>
          <w:kern w:val="2"/>
          <w:sz w:val="32"/>
          <w:szCs w:val="24"/>
          <w:lang w:val="en-US" w:eastAsia="zh-CN" w:bidi="ar-SA"/>
        </w:rPr>
        <w:t>二</w:t>
      </w:r>
      <w:r>
        <w:rPr>
          <w:rFonts w:hint="eastAsia" w:ascii="Times New Roman" w:hAnsi="Times New Roman" w:eastAsia="仿宋_GB2312" w:cs="Times New Roman"/>
          <w:b w:val="0"/>
          <w:bCs w:val="0"/>
          <w:kern w:val="2"/>
          <w:sz w:val="32"/>
          <w:szCs w:val="24"/>
          <w:lang w:val="en-US" w:eastAsia="zh-CN" w:bidi="ar-SA"/>
        </w:rPr>
        <w:t>次采购，中标供应商为吉安培风贸易有限公司，中标金额为</w:t>
      </w:r>
      <w:r>
        <w:rPr>
          <w:rFonts w:hint="eastAsia" w:ascii="Times New Roman" w:hAnsi="Times New Roman" w:cs="Times New Roman"/>
          <w:b w:val="0"/>
          <w:bCs w:val="0"/>
          <w:kern w:val="2"/>
          <w:sz w:val="32"/>
          <w:szCs w:val="24"/>
          <w:lang w:val="en-US" w:eastAsia="zh-CN" w:bidi="ar-SA"/>
        </w:rPr>
        <w:t>1032.94</w:t>
      </w:r>
      <w:r>
        <w:rPr>
          <w:rFonts w:hint="eastAsia" w:ascii="Times New Roman" w:hAnsi="Times New Roman" w:eastAsia="仿宋_GB2312" w:cs="Times New Roman"/>
          <w:b w:val="0"/>
          <w:bCs w:val="0"/>
          <w:kern w:val="2"/>
          <w:sz w:val="32"/>
          <w:szCs w:val="24"/>
          <w:lang w:val="en-US" w:eastAsia="zh-CN" w:bidi="ar-SA"/>
        </w:rPr>
        <w:t>万元；并于2022年</w:t>
      </w:r>
      <w:r>
        <w:rPr>
          <w:rFonts w:hint="eastAsia" w:ascii="Times New Roman" w:hAnsi="Times New Roman" w:cs="Times New Roman"/>
          <w:b w:val="0"/>
          <w:bCs w:val="0"/>
          <w:kern w:val="2"/>
          <w:sz w:val="32"/>
          <w:szCs w:val="24"/>
          <w:lang w:val="en-US" w:eastAsia="zh-CN" w:bidi="ar-SA"/>
        </w:rPr>
        <w:t>4</w:t>
      </w:r>
      <w:r>
        <w:rPr>
          <w:rFonts w:hint="eastAsia" w:ascii="Times New Roman" w:hAnsi="Times New Roman" w:eastAsia="仿宋_GB2312" w:cs="Times New Roman"/>
          <w:b w:val="0"/>
          <w:bCs w:val="0"/>
          <w:kern w:val="2"/>
          <w:sz w:val="32"/>
          <w:szCs w:val="24"/>
          <w:lang w:val="en-US" w:eastAsia="zh-CN" w:bidi="ar-SA"/>
        </w:rPr>
        <w:t>月</w:t>
      </w:r>
      <w:r>
        <w:rPr>
          <w:rFonts w:hint="eastAsia" w:ascii="Times New Roman" w:hAnsi="Times New Roman" w:cs="Times New Roman"/>
          <w:b w:val="0"/>
          <w:bCs w:val="0"/>
          <w:kern w:val="2"/>
          <w:sz w:val="32"/>
          <w:szCs w:val="24"/>
          <w:lang w:val="en-US" w:eastAsia="zh-CN" w:bidi="ar-SA"/>
        </w:rPr>
        <w:t>25</w:t>
      </w:r>
      <w:r>
        <w:rPr>
          <w:rFonts w:hint="eastAsia" w:ascii="Times New Roman" w:hAnsi="Times New Roman" w:eastAsia="仿宋_GB2312" w:cs="Times New Roman"/>
          <w:b w:val="0"/>
          <w:bCs w:val="0"/>
          <w:kern w:val="2"/>
          <w:sz w:val="32"/>
          <w:szCs w:val="24"/>
          <w:lang w:val="en-US" w:eastAsia="zh-CN" w:bidi="ar-SA"/>
        </w:rPr>
        <w:t>日，项目单位与吉安培风贸易有限公司签订采购合同书，采购内容包括</w:t>
      </w:r>
      <w:r>
        <w:rPr>
          <w:rFonts w:hint="eastAsia" w:ascii="Times New Roman" w:hAnsi="Times New Roman" w:cs="Times New Roman"/>
          <w:b w:val="0"/>
          <w:bCs w:val="0"/>
          <w:kern w:val="2"/>
          <w:sz w:val="32"/>
          <w:szCs w:val="24"/>
          <w:lang w:val="en-US" w:eastAsia="zh-CN" w:bidi="ar-SA"/>
        </w:rPr>
        <w:t>3984</w:t>
      </w:r>
      <w:r>
        <w:rPr>
          <w:rFonts w:hint="eastAsia" w:ascii="Times New Roman" w:hAnsi="Times New Roman" w:eastAsia="仿宋_GB2312" w:cs="Times New Roman"/>
          <w:b w:val="0"/>
          <w:bCs w:val="0"/>
          <w:kern w:val="2"/>
          <w:sz w:val="32"/>
          <w:szCs w:val="24"/>
          <w:lang w:val="en-US" w:eastAsia="zh-CN" w:bidi="ar-SA"/>
        </w:rPr>
        <w:t>副防护眼罩、</w:t>
      </w:r>
      <w:r>
        <w:rPr>
          <w:rFonts w:hint="eastAsia" w:ascii="Times New Roman" w:hAnsi="Times New Roman" w:cs="Times New Roman"/>
          <w:b w:val="0"/>
          <w:bCs w:val="0"/>
          <w:kern w:val="2"/>
          <w:sz w:val="32"/>
          <w:szCs w:val="24"/>
          <w:lang w:val="en-US" w:eastAsia="zh-CN" w:bidi="ar-SA"/>
        </w:rPr>
        <w:t>3984</w:t>
      </w:r>
      <w:r>
        <w:rPr>
          <w:rFonts w:hint="eastAsia" w:ascii="Times New Roman" w:hAnsi="Times New Roman" w:eastAsia="仿宋_GB2312" w:cs="Times New Roman"/>
          <w:b w:val="0"/>
          <w:bCs w:val="0"/>
          <w:kern w:val="2"/>
          <w:sz w:val="32"/>
          <w:szCs w:val="24"/>
          <w:lang w:val="en-US" w:eastAsia="zh-CN" w:bidi="ar-SA"/>
        </w:rPr>
        <w:t>个防护面罩、</w:t>
      </w:r>
      <w:r>
        <w:rPr>
          <w:rFonts w:hint="eastAsia" w:ascii="Times New Roman" w:hAnsi="Times New Roman" w:cs="Times New Roman"/>
          <w:b w:val="0"/>
          <w:bCs w:val="0"/>
          <w:kern w:val="2"/>
          <w:sz w:val="32"/>
          <w:szCs w:val="24"/>
          <w:lang w:val="en-US" w:eastAsia="zh-CN" w:bidi="ar-SA"/>
        </w:rPr>
        <w:t>19920</w:t>
      </w:r>
      <w:r>
        <w:rPr>
          <w:rFonts w:hint="eastAsia" w:ascii="Times New Roman" w:hAnsi="Times New Roman" w:eastAsia="仿宋_GB2312" w:cs="Times New Roman"/>
          <w:b w:val="0"/>
          <w:bCs w:val="0"/>
          <w:kern w:val="2"/>
          <w:sz w:val="32"/>
          <w:szCs w:val="24"/>
          <w:lang w:val="en-US" w:eastAsia="zh-CN" w:bidi="ar-SA"/>
        </w:rPr>
        <w:t>件防护服等应急物资，合同约定全部货物自采购合同生效之日起</w:t>
      </w:r>
      <w:r>
        <w:rPr>
          <w:rFonts w:hint="eastAsia" w:ascii="Times New Roman" w:hAnsi="Times New Roman" w:cs="Times New Roman"/>
          <w:b w:val="0"/>
          <w:bCs w:val="0"/>
          <w:kern w:val="2"/>
          <w:sz w:val="32"/>
          <w:szCs w:val="24"/>
          <w:lang w:val="en-US" w:eastAsia="zh-CN" w:bidi="ar-SA"/>
        </w:rPr>
        <w:t>6</w:t>
      </w:r>
      <w:r>
        <w:rPr>
          <w:rFonts w:hint="eastAsia" w:ascii="Times New Roman" w:hAnsi="Times New Roman" w:eastAsia="仿宋_GB2312" w:cs="Times New Roman"/>
          <w:b w:val="0"/>
          <w:bCs w:val="0"/>
          <w:kern w:val="2"/>
          <w:sz w:val="32"/>
          <w:szCs w:val="24"/>
          <w:lang w:val="en-US" w:eastAsia="zh-CN" w:bidi="ar-SA"/>
        </w:rPr>
        <w:t>0个日历天内交货，安装、调试并交付验收使用；根据验收报告，2022年6月2</w:t>
      </w:r>
      <w:r>
        <w:rPr>
          <w:rFonts w:hint="eastAsia" w:ascii="Times New Roman" w:hAnsi="Times New Roman" w:cs="Times New Roman"/>
          <w:b w:val="0"/>
          <w:bCs w:val="0"/>
          <w:kern w:val="2"/>
          <w:sz w:val="32"/>
          <w:szCs w:val="24"/>
          <w:lang w:val="en-US" w:eastAsia="zh-CN" w:bidi="ar-SA"/>
        </w:rPr>
        <w:t>5</w:t>
      </w:r>
      <w:r>
        <w:rPr>
          <w:rFonts w:hint="eastAsia" w:ascii="Times New Roman" w:hAnsi="Times New Roman" w:eastAsia="仿宋_GB2312" w:cs="Times New Roman"/>
          <w:b w:val="0"/>
          <w:bCs w:val="0"/>
          <w:kern w:val="2"/>
          <w:sz w:val="32"/>
          <w:szCs w:val="24"/>
          <w:lang w:val="en-US" w:eastAsia="zh-CN" w:bidi="ar-SA"/>
        </w:rPr>
        <w:t>日采购物资到货，2022年</w:t>
      </w:r>
      <w:r>
        <w:rPr>
          <w:rFonts w:hint="eastAsia" w:ascii="Times New Roman" w:hAnsi="Times New Roman" w:cs="Times New Roman"/>
          <w:b w:val="0"/>
          <w:bCs w:val="0"/>
          <w:kern w:val="2"/>
          <w:sz w:val="32"/>
          <w:szCs w:val="24"/>
          <w:lang w:val="en-US" w:eastAsia="zh-CN" w:bidi="ar-SA"/>
        </w:rPr>
        <w:t>9</w:t>
      </w:r>
      <w:r>
        <w:rPr>
          <w:rFonts w:hint="eastAsia" w:ascii="Times New Roman" w:hAnsi="Times New Roman" w:eastAsia="仿宋_GB2312" w:cs="Times New Roman"/>
          <w:b w:val="0"/>
          <w:bCs w:val="0"/>
          <w:kern w:val="2"/>
          <w:sz w:val="32"/>
          <w:szCs w:val="24"/>
          <w:lang w:val="en-US" w:eastAsia="zh-CN" w:bidi="ar-SA"/>
        </w:rPr>
        <w:t>月</w:t>
      </w:r>
      <w:r>
        <w:rPr>
          <w:rFonts w:hint="eastAsia" w:ascii="Times New Roman" w:hAnsi="Times New Roman" w:cs="Times New Roman"/>
          <w:b w:val="0"/>
          <w:bCs w:val="0"/>
          <w:kern w:val="2"/>
          <w:sz w:val="32"/>
          <w:szCs w:val="24"/>
          <w:lang w:val="en-US" w:eastAsia="zh-CN" w:bidi="ar-SA"/>
        </w:rPr>
        <w:t>14</w:t>
      </w:r>
      <w:r>
        <w:rPr>
          <w:rFonts w:hint="eastAsia" w:ascii="Times New Roman" w:hAnsi="Times New Roman" w:eastAsia="仿宋_GB2312" w:cs="Times New Roman"/>
          <w:b w:val="0"/>
          <w:bCs w:val="0"/>
          <w:kern w:val="2"/>
          <w:sz w:val="32"/>
          <w:szCs w:val="24"/>
          <w:lang w:val="en-US" w:eastAsia="zh-CN" w:bidi="ar-SA"/>
        </w:rPr>
        <w:t>日确认验收</w:t>
      </w:r>
      <w:r>
        <w:rPr>
          <w:rFonts w:hint="eastAsia" w:ascii="Times New Roman" w:hAnsi="Times New Roman" w:cs="Times New Roman"/>
          <w:b w:val="0"/>
          <w:bCs w:val="0"/>
          <w:kern w:val="2"/>
          <w:sz w:val="32"/>
          <w:szCs w:val="24"/>
          <w:lang w:val="en-US" w:eastAsia="zh-CN" w:bidi="ar-SA"/>
        </w:rPr>
        <w:t>。</w:t>
      </w:r>
    </w:p>
    <w:p>
      <w:pPr>
        <w:keepNext w:val="0"/>
        <w:keepLines w:val="0"/>
        <w:widowControl/>
        <w:suppressLineNumbers w:val="0"/>
        <w:jc w:val="left"/>
        <w:rPr>
          <w:rFonts w:hint="eastAsia"/>
          <w:highlight w:val="none"/>
          <w:lang w:val="en-US" w:eastAsia="zh-CN"/>
        </w:rPr>
      </w:pPr>
      <w:r>
        <w:rPr>
          <w:rFonts w:hint="eastAsia"/>
          <w:lang w:val="en-US" w:eastAsia="zh-CN"/>
        </w:rPr>
        <w:t>本项目采购的应急物资分为</w:t>
      </w:r>
      <w:r>
        <w:rPr>
          <w:rFonts w:hint="eastAsia"/>
          <w:highlight w:val="none"/>
          <w:lang w:val="en-US" w:eastAsia="zh-CN"/>
        </w:rPr>
        <w:t>区级公卫物资和区级救灾物资，具体领取工作流程如下：</w:t>
      </w:r>
    </w:p>
    <w:p>
      <w:pPr>
        <w:keepNext/>
        <w:keepLines/>
        <w:pageBreakBefore w:val="0"/>
        <w:widowControl w:val="0"/>
        <w:kinsoku/>
        <w:wordWrap/>
        <w:overflowPunct/>
        <w:topLinePunct w:val="0"/>
        <w:autoSpaceDE/>
        <w:autoSpaceDN/>
        <w:bidi w:val="0"/>
        <w:adjustRightInd/>
        <w:snapToGrid/>
        <w:spacing w:before="0" w:beforeLines="0" w:after="0" w:afterLines="0"/>
        <w:ind w:firstLine="0" w:firstLineChars="0"/>
        <w:jc w:val="center"/>
        <w:textAlignment w:val="auto"/>
        <w:outlineLvl w:val="9"/>
        <w:rPr>
          <w:rFonts w:hint="eastAsia" w:ascii="幼圆" w:hAnsi="幼圆" w:eastAsia="幼圆" w:cs="幼圆"/>
          <w:b/>
          <w:sz w:val="24"/>
          <w:highlight w:val="none"/>
        </w:rPr>
      </w:pPr>
      <w:r>
        <w:rPr>
          <w:rFonts w:hint="eastAsia" w:ascii="幼圆" w:hAnsi="幼圆" w:eastAsia="幼圆" w:cs="幼圆"/>
          <w:b/>
          <w:sz w:val="24"/>
          <w:highlight w:val="none"/>
        </w:rPr>
        <w:t>表1-</w:t>
      </w:r>
      <w:r>
        <w:rPr>
          <w:rFonts w:hint="eastAsia" w:ascii="幼圆" w:hAnsi="幼圆" w:eastAsia="幼圆" w:cs="幼圆"/>
          <w:b/>
          <w:sz w:val="24"/>
          <w:highlight w:val="none"/>
          <w:lang w:val="en-US" w:eastAsia="zh-CN"/>
        </w:rPr>
        <w:t>2</w:t>
      </w:r>
      <w:r>
        <w:rPr>
          <w:rFonts w:hint="eastAsia" w:ascii="幼圆" w:hAnsi="幼圆" w:eastAsia="幼圆" w:cs="幼圆"/>
          <w:b/>
          <w:sz w:val="24"/>
          <w:highlight w:val="none"/>
        </w:rPr>
        <w:t xml:space="preserve">  </w:t>
      </w:r>
      <w:r>
        <w:rPr>
          <w:rFonts w:hint="eastAsia" w:ascii="幼圆" w:hAnsi="幼圆" w:eastAsia="幼圆" w:cs="幼圆"/>
          <w:b/>
          <w:sz w:val="24"/>
          <w:highlight w:val="none"/>
          <w:lang w:val="en-US" w:eastAsia="zh-CN"/>
        </w:rPr>
        <w:t>工作流程</w:t>
      </w:r>
      <w:r>
        <w:rPr>
          <w:rFonts w:hint="eastAsia" w:ascii="幼圆" w:hAnsi="幼圆" w:eastAsia="幼圆" w:cs="幼圆"/>
          <w:b/>
          <w:sz w:val="24"/>
          <w:highlight w:val="none"/>
        </w:rPr>
        <w:t>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pct"/>
            <w:vAlign w:val="center"/>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物资类型</w:t>
            </w:r>
          </w:p>
        </w:tc>
        <w:tc>
          <w:tcPr>
            <w:tcW w:w="3425" w:type="pct"/>
            <w:vAlign w:val="center"/>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区级公卫物资</w:t>
            </w:r>
          </w:p>
        </w:tc>
        <w:tc>
          <w:tcPr>
            <w:tcW w:w="3425"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default"/>
                <w:bCs/>
                <w:color w:val="000000"/>
                <w:kern w:val="0"/>
                <w:sz w:val="24"/>
                <w:highlight w:val="none"/>
                <w:lang w:val="en-US" w:eastAsia="zh-CN" w:bidi="ar"/>
              </w:rPr>
              <w:t>区发展和改革局向区安穗粮油贸易有限公司发出《区防控物资调拨凭证》，同时告知区储备粮管理中心。区安穗粮油贸易有限公司组织区级公卫物资的出库准备，并做好物资的交接和物资出库保管账登记工作。区储备粮管理中心做好出库物资统计工作，加强物资管理，核对物资账实数量。</w:t>
            </w:r>
          </w:p>
        </w:tc>
      </w:tr>
    </w:tbl>
    <w:p>
      <w:pPr>
        <w:pStyle w:val="3"/>
        <w:spacing w:before="156" w:after="156"/>
        <w:ind w:firstLine="643"/>
        <w:rPr>
          <w:rFonts w:ascii="Times New Roman" w:hAnsi="Times New Roman"/>
          <w:color w:val="auto"/>
          <w:highlight w:val="none"/>
        </w:rPr>
      </w:pPr>
      <w:bookmarkStart w:id="5" w:name="_Toc8594"/>
      <w:bookmarkStart w:id="6" w:name="_Toc10172"/>
      <w:r>
        <w:rPr>
          <w:rFonts w:hint="eastAsia" w:ascii="Times New Roman" w:hAnsi="Times New Roman"/>
          <w:color w:val="auto"/>
          <w:highlight w:val="none"/>
        </w:rPr>
        <w:t>（二）项目绩效目标</w:t>
      </w:r>
      <w:bookmarkEnd w:id="5"/>
      <w:bookmarkEnd w:id="6"/>
    </w:p>
    <w:p>
      <w:pPr>
        <w:ind w:firstLine="640"/>
        <w:rPr>
          <w:rFonts w:hint="eastAsia" w:ascii="Times New Roman" w:hAnsi="Times New Roman" w:eastAsia="仿宋_GB2312"/>
          <w:color w:val="auto"/>
          <w:highlight w:val="none"/>
          <w:lang w:eastAsia="zh-CN"/>
        </w:rPr>
      </w:pPr>
      <w:r>
        <w:rPr>
          <w:rFonts w:hint="eastAsia"/>
          <w:color w:val="auto"/>
          <w:lang w:val="en-US" w:eastAsia="zh-CN"/>
        </w:rPr>
        <w:t>根据项目单位提供的《绩效目标申报表》</w:t>
      </w:r>
      <w:r>
        <w:rPr>
          <w:lang w:eastAsia="zh-Hans"/>
        </w:rPr>
        <w:t>可知，项目的整体绩效目标为：</w:t>
      </w:r>
      <w:r>
        <w:rPr>
          <w:rFonts w:hint="eastAsia"/>
          <w:lang w:eastAsia="zh-Hans"/>
        </w:rPr>
        <w:t>做好我区公共卫生应急物资社会防疫政府储备以及防控物资应急储备工作</w:t>
      </w:r>
      <w:r>
        <w:rPr>
          <w:rFonts w:hint="eastAsia"/>
          <w:lang w:eastAsia="zh-CN"/>
        </w:rPr>
        <w:t>。</w:t>
      </w:r>
      <w:r>
        <w:rPr>
          <w:rStyle w:val="21"/>
          <w:rFonts w:hint="eastAsia"/>
          <w:caps/>
          <w:color w:val="auto"/>
          <w:szCs w:val="32"/>
          <w:u w:val="none"/>
        </w:rPr>
        <w:t>单位设置的绩效指标</w:t>
      </w:r>
      <w:r>
        <w:rPr>
          <w:rFonts w:hint="eastAsia"/>
        </w:rPr>
        <w:t>具体如下</w:t>
      </w:r>
      <w:r>
        <w:rPr>
          <w:rStyle w:val="21"/>
          <w:caps/>
          <w:color w:val="auto"/>
          <w:szCs w:val="32"/>
          <w:u w:val="none"/>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幼圆"/>
          <w:b/>
          <w:sz w:val="24"/>
          <w:highlight w:val="none"/>
        </w:rPr>
      </w:pPr>
      <w:r>
        <w:rPr>
          <w:rFonts w:hint="eastAsia" w:ascii="Times New Roman" w:hAnsi="Times New Roman" w:eastAsia="幼圆"/>
          <w:b/>
          <w:sz w:val="24"/>
          <w:highlight w:val="none"/>
        </w:rPr>
        <w:t>表1-</w:t>
      </w:r>
      <w:r>
        <w:rPr>
          <w:rFonts w:hint="eastAsia" w:eastAsia="幼圆"/>
          <w:b/>
          <w:sz w:val="24"/>
          <w:highlight w:val="none"/>
          <w:lang w:val="en-US" w:eastAsia="zh-CN"/>
        </w:rPr>
        <w:t>3</w:t>
      </w:r>
      <w:r>
        <w:rPr>
          <w:rFonts w:hint="eastAsia" w:ascii="Times New Roman" w:hAnsi="Times New Roman" w:eastAsia="幼圆"/>
          <w:b/>
          <w:sz w:val="24"/>
          <w:highlight w:val="none"/>
        </w:rPr>
        <w:t xml:space="preserve">  指标设置情况表</w:t>
      </w:r>
    </w:p>
    <w:tbl>
      <w:tblPr>
        <w:tblStyle w:val="16"/>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0"/>
        <w:gridCol w:w="2310"/>
        <w:gridCol w:w="232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blHeader/>
        </w:trPr>
        <w:tc>
          <w:tcPr>
            <w:tcW w:w="751"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一级指标</w:t>
            </w:r>
          </w:p>
        </w:tc>
        <w:tc>
          <w:tcPr>
            <w:tcW w:w="1399"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二级指标</w:t>
            </w:r>
          </w:p>
        </w:tc>
        <w:tc>
          <w:tcPr>
            <w:tcW w:w="1408"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hint="eastAsia" w:ascii="Times New Roman" w:hAnsi="Times New Roman"/>
                <w:b/>
                <w:color w:val="000000"/>
                <w:kern w:val="0"/>
                <w:sz w:val="24"/>
                <w:highlight w:val="none"/>
                <w:lang w:bidi="ar"/>
              </w:rPr>
              <w:t>三级指标</w:t>
            </w:r>
          </w:p>
        </w:tc>
        <w:tc>
          <w:tcPr>
            <w:tcW w:w="1440"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restart"/>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eastAsia="仿宋_GB2312"/>
                <w:bCs/>
                <w:color w:val="000000"/>
                <w:kern w:val="0"/>
                <w:sz w:val="24"/>
                <w:highlight w:val="none"/>
                <w:lang w:val="en-US" w:eastAsia="zh-CN" w:bidi="ar"/>
              </w:rPr>
            </w:pPr>
            <w:r>
              <w:rPr>
                <w:rFonts w:hint="eastAsia"/>
                <w:bCs/>
                <w:color w:val="000000"/>
                <w:kern w:val="0"/>
                <w:sz w:val="24"/>
                <w:highlight w:val="none"/>
                <w:lang w:val="en-US" w:eastAsia="zh-CN" w:bidi="ar"/>
              </w:rPr>
              <w:t>产出指标</w:t>
            </w:r>
          </w:p>
        </w:tc>
        <w:tc>
          <w:tcPr>
            <w:tcW w:w="1399"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产出质量</w:t>
            </w:r>
          </w:p>
        </w:tc>
        <w:tc>
          <w:tcPr>
            <w:tcW w:w="1408"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资金使用合规性</w:t>
            </w:r>
          </w:p>
        </w:tc>
        <w:tc>
          <w:tcPr>
            <w:tcW w:w="1440"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资金使用100%合规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399" w:type="pct"/>
            <w:vMerge w:val="restar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产出时效</w:t>
            </w:r>
          </w:p>
        </w:tc>
        <w:tc>
          <w:tcPr>
            <w:tcW w:w="1408"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维持工作正常运转</w:t>
            </w:r>
          </w:p>
        </w:tc>
        <w:tc>
          <w:tcPr>
            <w:tcW w:w="1440"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做好我区公共卫生应急物资社会防疫政府储备以及防控物资应急储备工作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399" w:type="pct"/>
            <w:vMerge w:val="continue"/>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bidi="ar"/>
              </w:rPr>
            </w:pPr>
          </w:p>
        </w:tc>
        <w:tc>
          <w:tcPr>
            <w:tcW w:w="1408"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项目按计划完成率（%）</w:t>
            </w:r>
          </w:p>
        </w:tc>
        <w:tc>
          <w:tcPr>
            <w:tcW w:w="1440"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项目100%按计划完成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效益指标</w:t>
            </w:r>
          </w:p>
        </w:tc>
        <w:tc>
          <w:tcPr>
            <w:tcW w:w="1399"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社会效益</w:t>
            </w:r>
          </w:p>
        </w:tc>
        <w:tc>
          <w:tcPr>
            <w:tcW w:w="1408"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提高×××（具体领域）服务能力</w:t>
            </w:r>
          </w:p>
        </w:tc>
        <w:tc>
          <w:tcPr>
            <w:tcW w:w="1440"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提高应急领域的服务能力</w:t>
            </w:r>
          </w:p>
        </w:tc>
      </w:tr>
    </w:tbl>
    <w:p>
      <w:pPr>
        <w:ind w:firstLine="640"/>
        <w:rPr>
          <w:rFonts w:hint="default" w:cs="Times New Roman"/>
          <w:b w:val="0"/>
          <w:bCs w:val="0"/>
          <w:color w:val="auto"/>
          <w:kern w:val="2"/>
          <w:sz w:val="32"/>
          <w:szCs w:val="22"/>
          <w:highlight w:val="none"/>
          <w:lang w:val="en-US" w:eastAsia="zh-CN" w:bidi="ar-SA"/>
        </w:rPr>
      </w:pPr>
      <w:bookmarkStart w:id="7" w:name="_Toc17411"/>
      <w:r>
        <w:rPr>
          <w:rStyle w:val="21"/>
          <w:rFonts w:hint="eastAsia" w:ascii="仿宋_GB2312" w:hAnsi="仿宋_GB2312" w:eastAsia="仿宋_GB2312" w:cs="仿宋_GB2312"/>
          <w:caps/>
          <w:color w:val="auto"/>
          <w:szCs w:val="32"/>
          <w:u w:val="none"/>
          <w:lang w:val="en-US" w:eastAsia="zh-CN"/>
        </w:rPr>
        <w:t>在此基础上，评价小组依据评价工作要求和本项目实施内容，提取并完善了项目核心绩效指标</w:t>
      </w:r>
      <w:r>
        <w:rPr>
          <w:rFonts w:hint="eastAsia" w:cs="Times New Roman"/>
          <w:b w:val="0"/>
          <w:bCs w:val="0"/>
          <w:color w:val="auto"/>
          <w:kern w:val="2"/>
          <w:sz w:val="32"/>
          <w:szCs w:val="22"/>
          <w:highlight w:val="none"/>
          <w:lang w:val="en-US" w:eastAsia="zh-CN" w:bidi="ar-SA"/>
        </w:rPr>
        <w:t>，设置项目绩效目标</w:t>
      </w:r>
      <w:r>
        <w:rPr>
          <w:rFonts w:hint="eastAsia" w:cs="Times New Roman"/>
          <w:b w:val="0"/>
          <w:bCs w:val="0"/>
          <w:color w:val="auto"/>
          <w:kern w:val="2"/>
          <w:sz w:val="32"/>
          <w:szCs w:val="22"/>
          <w:highlight w:val="none"/>
          <w:lang w:val="en-US" w:eastAsia="zh-Hans" w:bidi="ar-SA"/>
        </w:rPr>
        <w:t>，保证其能够体现财政资金支出的政策意图，以及财政资金在一个年度内要求完成的</w:t>
      </w:r>
      <w:r>
        <w:rPr>
          <w:rFonts w:hint="eastAsia" w:ascii="Times New Roman" w:hAnsi="Times New Roman" w:cs="Times New Roman"/>
          <w:b w:val="0"/>
          <w:bCs w:val="0"/>
          <w:color w:val="auto"/>
          <w:kern w:val="2"/>
          <w:sz w:val="32"/>
          <w:szCs w:val="22"/>
          <w:highlight w:val="none"/>
          <w:lang w:val="en-US" w:eastAsia="zh-Hans" w:bidi="ar-SA"/>
        </w:rPr>
        <w:t>总任务、预期达到的总产出和效果</w:t>
      </w:r>
      <w:r>
        <w:rPr>
          <w:rFonts w:hint="eastAsia" w:ascii="Times New Roman" w:hAnsi="Times New Roman" w:cs="Times New Roman"/>
          <w:b w:val="0"/>
          <w:bCs w:val="0"/>
          <w:color w:val="auto"/>
          <w:kern w:val="2"/>
          <w:sz w:val="32"/>
          <w:szCs w:val="22"/>
          <w:highlight w:val="none"/>
          <w:lang w:val="en-US" w:eastAsia="zh-CN" w:bidi="ar-SA"/>
        </w:rPr>
        <w:t>。</w:t>
      </w:r>
      <w:r>
        <w:rPr>
          <w:rStyle w:val="21"/>
          <w:rFonts w:hint="eastAsia" w:ascii="仿宋_GB2312" w:hAnsi="仿宋_GB2312" w:eastAsia="仿宋_GB2312" w:cs="仿宋_GB2312"/>
          <w:caps/>
          <w:color w:val="auto"/>
          <w:szCs w:val="32"/>
          <w:u w:val="none"/>
          <w:lang w:val="en-US" w:eastAsia="zh-CN"/>
        </w:rPr>
        <w:t>评价小组</w:t>
      </w:r>
      <w:r>
        <w:rPr>
          <w:rFonts w:hint="eastAsia" w:ascii="Times New Roman" w:hAnsi="Times New Roman" w:cs="Times New Roman"/>
          <w:b w:val="0"/>
          <w:bCs w:val="0"/>
          <w:color w:val="auto"/>
          <w:kern w:val="2"/>
          <w:sz w:val="32"/>
          <w:szCs w:val="22"/>
          <w:highlight w:val="none"/>
          <w:lang w:val="en-US" w:eastAsia="zh-CN" w:bidi="ar-SA"/>
        </w:rPr>
        <w:t>设置的绩效目标为</w:t>
      </w:r>
      <w:r>
        <w:rPr>
          <w:rFonts w:hint="eastAsia" w:ascii="Times New Roman" w:hAnsi="Times New Roman" w:eastAsia="仿宋_GB2312" w:cs="Times New Roman"/>
          <w:color w:val="auto"/>
          <w:lang w:val="en-US" w:eastAsia="zh-CN"/>
        </w:rPr>
        <w:t>：</w:t>
      </w:r>
      <w:r>
        <w:rPr>
          <w:rFonts w:hint="eastAsia" w:ascii="Times New Roman" w:hAnsi="Times New Roman" w:cs="Times New Roman"/>
          <w:color w:val="auto"/>
          <w:lang w:val="en-US" w:eastAsia="zh-CN"/>
        </w:rPr>
        <w:t>通过</w:t>
      </w:r>
      <w:r>
        <w:rPr>
          <w:rFonts w:hint="eastAsia"/>
          <w:color w:val="auto"/>
          <w:lang w:val="en-US" w:eastAsia="zh-CN"/>
        </w:rPr>
        <w:t>采购一批</w:t>
      </w:r>
      <w:r>
        <w:rPr>
          <w:rFonts w:hint="eastAsia" w:ascii="Times New Roman" w:hAnsi="Times New Roman" w:cs="Times New Roman"/>
          <w:b w:val="0"/>
          <w:bCs w:val="0"/>
          <w:kern w:val="2"/>
          <w:sz w:val="32"/>
          <w:szCs w:val="24"/>
          <w:highlight w:val="none"/>
          <w:lang w:val="en-US" w:eastAsia="zh-CN" w:bidi="ar"/>
        </w:rPr>
        <w:t>应急物资以及部分防控物资，包括防护物资、消毒药剂、消毒器械、采样耗材、样品运输、医疗垃圾等方面共储备</w:t>
      </w:r>
      <w:r>
        <w:rPr>
          <w:rFonts w:hint="eastAsia" w:cs="Times New Roman"/>
          <w:b w:val="0"/>
          <w:bCs w:val="0"/>
          <w:kern w:val="2"/>
          <w:sz w:val="32"/>
          <w:szCs w:val="24"/>
          <w:highlight w:val="none"/>
          <w:lang w:val="en-US" w:eastAsia="zh-CN" w:bidi="ar"/>
        </w:rPr>
        <w:t>29</w:t>
      </w:r>
      <w:r>
        <w:rPr>
          <w:rFonts w:hint="eastAsia" w:ascii="Times New Roman" w:hAnsi="Times New Roman" w:cs="Times New Roman"/>
          <w:b w:val="0"/>
          <w:bCs w:val="0"/>
          <w:kern w:val="2"/>
          <w:sz w:val="32"/>
          <w:szCs w:val="24"/>
          <w:highlight w:val="none"/>
          <w:lang w:val="en-US" w:eastAsia="zh-CN" w:bidi="ar"/>
        </w:rPr>
        <w:t>个品种，提高潮安区应急救援能力，完善潮安区应急物资储备体系。</w:t>
      </w:r>
      <w:r>
        <w:rPr>
          <w:rFonts w:hint="eastAsia" w:cs="Times New Roman"/>
          <w:b w:val="0"/>
          <w:bCs w:val="0"/>
          <w:color w:val="auto"/>
          <w:kern w:val="2"/>
          <w:sz w:val="32"/>
          <w:szCs w:val="22"/>
          <w:highlight w:val="none"/>
          <w:lang w:val="en-US" w:eastAsia="zh-CN" w:bidi="ar-SA"/>
        </w:rPr>
        <w:t>项目具体绩效指标如下</w:t>
      </w:r>
      <w:r>
        <w:rPr>
          <w:rFonts w:hint="default" w:cs="Times New Roman"/>
          <w:b w:val="0"/>
          <w:bCs w:val="0"/>
          <w:color w:val="auto"/>
          <w:kern w:val="2"/>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幼圆"/>
          <w:b/>
          <w:sz w:val="24"/>
          <w:highlight w:val="none"/>
        </w:rPr>
      </w:pPr>
      <w:r>
        <w:rPr>
          <w:rFonts w:hint="eastAsia" w:ascii="Times New Roman" w:hAnsi="Times New Roman" w:eastAsia="幼圆"/>
          <w:b/>
          <w:sz w:val="24"/>
          <w:highlight w:val="none"/>
        </w:rPr>
        <w:t>表1-</w:t>
      </w:r>
      <w:r>
        <w:rPr>
          <w:rFonts w:hint="eastAsia" w:eastAsia="幼圆"/>
          <w:b/>
          <w:sz w:val="24"/>
          <w:highlight w:val="none"/>
          <w:lang w:val="en-US" w:eastAsia="zh-CN"/>
        </w:rPr>
        <w:t>4</w:t>
      </w:r>
      <w:r>
        <w:rPr>
          <w:rFonts w:hint="eastAsia" w:ascii="Times New Roman" w:hAnsi="Times New Roman" w:eastAsia="幼圆"/>
          <w:b/>
          <w:sz w:val="24"/>
          <w:highlight w:val="none"/>
        </w:rPr>
        <w:t xml:space="preserve">  指标设置情况表</w:t>
      </w:r>
    </w:p>
    <w:tbl>
      <w:tblPr>
        <w:tblStyle w:val="16"/>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1"/>
        <w:gridCol w:w="2311"/>
        <w:gridCol w:w="324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blHeader/>
        </w:trPr>
        <w:tc>
          <w:tcPr>
            <w:tcW w:w="751"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一级指标</w:t>
            </w:r>
          </w:p>
        </w:tc>
        <w:tc>
          <w:tcPr>
            <w:tcW w:w="1399"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二级指标</w:t>
            </w:r>
          </w:p>
        </w:tc>
        <w:tc>
          <w:tcPr>
            <w:tcW w:w="1964"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hint="eastAsia" w:ascii="Times New Roman" w:hAnsi="Times New Roman"/>
                <w:b/>
                <w:color w:val="000000"/>
                <w:kern w:val="0"/>
                <w:sz w:val="24"/>
                <w:highlight w:val="none"/>
                <w:lang w:bidi="ar"/>
              </w:rPr>
              <w:t>三级指标</w:t>
            </w:r>
          </w:p>
        </w:tc>
        <w:tc>
          <w:tcPr>
            <w:tcW w:w="884"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restar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产出指标</w:t>
            </w:r>
          </w:p>
        </w:tc>
        <w:tc>
          <w:tcPr>
            <w:tcW w:w="1399" w:type="pct"/>
            <w:vMerge w:val="restar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产出数量</w:t>
            </w:r>
          </w:p>
        </w:tc>
        <w:tc>
          <w:tcPr>
            <w:tcW w:w="1964"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eastAsia"/>
                <w:bCs/>
                <w:color w:val="000000"/>
                <w:kern w:val="0"/>
                <w:sz w:val="24"/>
                <w:highlight w:val="none"/>
                <w:lang w:val="en-US" w:eastAsia="zh-CN" w:bidi="ar"/>
              </w:rPr>
              <w:t>应急物资储备种类</w:t>
            </w:r>
          </w:p>
        </w:tc>
        <w:tc>
          <w:tcPr>
            <w:tcW w:w="884"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eastAsia"/>
                <w:bCs/>
                <w:color w:val="000000"/>
                <w:kern w:val="0"/>
                <w:sz w:val="24"/>
                <w:highlight w:val="none"/>
                <w:lang w:val="en-US" w:eastAsia="zh-CN" w:bidi="ar"/>
              </w:rPr>
              <w:t>29种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continue"/>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bidi="ar"/>
              </w:rPr>
            </w:pPr>
          </w:p>
        </w:tc>
        <w:tc>
          <w:tcPr>
            <w:tcW w:w="1399" w:type="pct"/>
            <w:vMerge w:val="continue"/>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bidi="ar"/>
              </w:rPr>
            </w:pPr>
          </w:p>
        </w:tc>
        <w:tc>
          <w:tcPr>
            <w:tcW w:w="1964"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应急物资储备数量</w:t>
            </w:r>
          </w:p>
        </w:tc>
        <w:tc>
          <w:tcPr>
            <w:tcW w:w="884"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XX件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399"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产出质量</w:t>
            </w:r>
          </w:p>
        </w:tc>
        <w:tc>
          <w:tcPr>
            <w:tcW w:w="196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验收质量达标率</w:t>
            </w:r>
          </w:p>
        </w:tc>
        <w:tc>
          <w:tcPr>
            <w:tcW w:w="884"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bidi="ar"/>
              </w:rPr>
            </w:pPr>
            <w:r>
              <w:rPr>
                <w:rFonts w:hint="eastAsia"/>
                <w:bCs/>
                <w:color w:val="000000"/>
                <w:kern w:val="0"/>
                <w:sz w:val="24"/>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399"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产出时效</w:t>
            </w:r>
          </w:p>
        </w:tc>
        <w:tc>
          <w:tcPr>
            <w:tcW w:w="196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采购及时率</w:t>
            </w:r>
          </w:p>
        </w:tc>
        <w:tc>
          <w:tcPr>
            <w:tcW w:w="88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399" w:type="pct"/>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产出成本</w:t>
            </w:r>
          </w:p>
        </w:tc>
        <w:tc>
          <w:tcPr>
            <w:tcW w:w="1964"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成本节约率</w:t>
            </w:r>
          </w:p>
        </w:tc>
        <w:tc>
          <w:tcPr>
            <w:tcW w:w="884"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default" w:ascii="Times New Roman" w:hAnsi="Times New Roman" w:eastAsia="仿宋_GB2312" w:cs="Times New Roman"/>
                <w:caps w:val="0"/>
                <w:smallCaps w:val="0"/>
                <w:kern w:val="0"/>
                <w:sz w:val="24"/>
                <w:szCs w:val="22"/>
                <w:highlight w:val="none"/>
                <w:lang w:val="en-US" w:eastAsia="zh-CN" w:bidi="ar-SA"/>
              </w:rPr>
              <w:t>1</w:t>
            </w:r>
            <w:r>
              <w:rPr>
                <w:rFonts w:hint="eastAsia" w:ascii="Times New Roman" w:hAnsi="Times New Roman" w:cs="Times New Roman"/>
                <w:caps w:val="0"/>
                <w:smallCaps w:val="0"/>
                <w:kern w:val="0"/>
                <w:sz w:val="24"/>
                <w:szCs w:val="22"/>
                <w:highlight w:val="none"/>
                <w:lang w:val="en-US" w:eastAsia="zh-CN" w:bidi="ar-SA"/>
              </w:rPr>
              <w:t>00</w:t>
            </w:r>
            <w:r>
              <w:rPr>
                <w:rFonts w:hint="default" w:ascii="Times New Roman" w:hAnsi="Times New Roman" w:eastAsia="仿宋_GB2312" w:cs="Times New Roman"/>
                <w:caps w:val="0"/>
                <w:smallCaps w:val="0"/>
                <w:kern w:val="0"/>
                <w:sz w:val="24"/>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restar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eastAsia" w:ascii="Times New Roman" w:hAnsi="Times New Roman"/>
                <w:bCs/>
                <w:color w:val="000000"/>
                <w:kern w:val="0"/>
                <w:sz w:val="24"/>
                <w:highlight w:val="none"/>
                <w:lang w:val="en-US" w:eastAsia="zh-CN" w:bidi="ar"/>
              </w:rPr>
              <w:t>效益指标</w:t>
            </w:r>
          </w:p>
        </w:tc>
        <w:tc>
          <w:tcPr>
            <w:tcW w:w="1399" w:type="pct"/>
            <w:vMerge w:val="restart"/>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社会效益</w:t>
            </w:r>
          </w:p>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96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提升应急救援能力</w:t>
            </w:r>
          </w:p>
        </w:tc>
        <w:tc>
          <w:tcPr>
            <w:tcW w:w="884"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bidi="ar"/>
              </w:rPr>
            </w:pPr>
            <w:r>
              <w:rPr>
                <w:rFonts w:hint="eastAsia"/>
                <w:bCs/>
                <w:color w:val="000000"/>
                <w:kern w:val="0"/>
                <w:sz w:val="24"/>
                <w:highlight w:val="none"/>
                <w:lang w:val="en-US" w:eastAsia="zh-CN" w:bidi="ar"/>
              </w:rPr>
              <w:t>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399"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96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保障应急物资供应能力</w:t>
            </w:r>
          </w:p>
        </w:tc>
        <w:tc>
          <w:tcPr>
            <w:tcW w:w="884"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bidi="ar"/>
              </w:rPr>
            </w:pPr>
            <w:r>
              <w:rPr>
                <w:rFonts w:hint="eastAsia"/>
                <w:bCs/>
                <w:color w:val="000000"/>
                <w:kern w:val="0"/>
                <w:sz w:val="24"/>
                <w:highlight w:val="none"/>
                <w:lang w:val="en-US" w:eastAsia="zh-CN" w:bidi="ar"/>
              </w:rPr>
              <w:t>加强保障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399"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96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减少疫情带来的负面影响</w:t>
            </w:r>
          </w:p>
        </w:tc>
        <w:tc>
          <w:tcPr>
            <w:tcW w:w="884"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bidi="ar"/>
              </w:rPr>
            </w:pPr>
            <w:r>
              <w:rPr>
                <w:rFonts w:hint="eastAsia"/>
                <w:bCs/>
                <w:color w:val="000000"/>
                <w:kern w:val="0"/>
                <w:sz w:val="24"/>
                <w:highlight w:val="none"/>
                <w:lang w:val="en-US" w:eastAsia="zh-CN" w:bidi="ar"/>
              </w:rPr>
              <w:t>有效减少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51"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399"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服务对象满意度</w:t>
            </w:r>
          </w:p>
        </w:tc>
        <w:tc>
          <w:tcPr>
            <w:tcW w:w="196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领取物资单位满意度</w:t>
            </w:r>
          </w:p>
        </w:tc>
        <w:tc>
          <w:tcPr>
            <w:tcW w:w="88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cs="Times New Roman"/>
                <w:kern w:val="0"/>
                <w:sz w:val="24"/>
                <w:lang w:val="en-US" w:eastAsia="zh-CN"/>
              </w:rPr>
              <w:t>≥90%</w:t>
            </w:r>
          </w:p>
        </w:tc>
      </w:tr>
    </w:tbl>
    <w:p>
      <w:pPr>
        <w:pStyle w:val="3"/>
        <w:spacing w:before="156" w:after="156"/>
        <w:ind w:firstLine="643"/>
        <w:rPr>
          <w:rFonts w:ascii="Times New Roman" w:hAnsi="Times New Roman"/>
          <w:highlight w:val="none"/>
        </w:rPr>
      </w:pPr>
      <w:bookmarkStart w:id="8" w:name="_Toc13216"/>
      <w:r>
        <w:rPr>
          <w:rFonts w:hint="eastAsia" w:ascii="Times New Roman" w:hAnsi="Times New Roman"/>
          <w:highlight w:val="none"/>
        </w:rPr>
        <w:t>（三）项目预算安排及支出情况</w:t>
      </w:r>
      <w:bookmarkEnd w:id="7"/>
      <w:bookmarkEnd w:id="8"/>
    </w:p>
    <w:p>
      <w:pPr>
        <w:ind w:firstLine="643"/>
        <w:outlineLvl w:val="2"/>
        <w:rPr>
          <w:rFonts w:hint="eastAsia" w:ascii="Times New Roman" w:hAnsi="Times New Roman" w:cs="Times New Roman"/>
          <w:b/>
          <w:bCs/>
          <w:highlight w:val="none"/>
          <w:lang w:val="zh-CN"/>
        </w:rPr>
      </w:pPr>
      <w:r>
        <w:rPr>
          <w:rFonts w:hint="eastAsia" w:ascii="Times New Roman" w:hAnsi="Times New Roman" w:cs="Times New Roman"/>
          <w:b/>
          <w:bCs/>
          <w:highlight w:val="none"/>
        </w:rPr>
        <w:t>1.</w:t>
      </w:r>
      <w:r>
        <w:rPr>
          <w:rFonts w:hint="eastAsia" w:ascii="Times New Roman" w:hAnsi="Times New Roman" w:cs="Times New Roman"/>
          <w:b/>
          <w:bCs/>
          <w:highlight w:val="none"/>
          <w:lang w:val="zh-CN"/>
        </w:rPr>
        <w:t>预算安排情况</w:t>
      </w:r>
    </w:p>
    <w:p>
      <w:pPr>
        <w:ind w:firstLine="640"/>
        <w:rPr>
          <w:color w:val="FF0000"/>
          <w:kern w:val="0"/>
        </w:rPr>
      </w:pPr>
      <w:r>
        <w:rPr>
          <w:rFonts w:hint="eastAsia"/>
          <w:color w:val="auto"/>
          <w:lang w:val="zh-CN"/>
        </w:rPr>
        <w:t>根据</w:t>
      </w:r>
      <w:r>
        <w:rPr>
          <w:rFonts w:hint="eastAsia"/>
          <w:color w:val="auto"/>
          <w:lang w:val="en-US" w:eastAsia="zh-CN"/>
        </w:rPr>
        <w:t>项目单位提供的记账凭证和</w:t>
      </w:r>
      <w:r>
        <w:rPr>
          <w:rFonts w:hint="eastAsia"/>
          <w:color w:val="auto"/>
          <w:lang w:val="zh-CN"/>
        </w:rPr>
        <w:t>财政授权支付额度到账通知书可知</w:t>
      </w:r>
      <w:r>
        <w:rPr>
          <w:rFonts w:hint="eastAsia"/>
          <w:lang w:val="zh-CN"/>
        </w:rPr>
        <w:t>，本项目</w:t>
      </w:r>
      <w:r>
        <w:rPr>
          <w:rFonts w:hint="eastAsia"/>
          <w:color w:val="auto"/>
          <w:lang w:val="zh-CN"/>
        </w:rPr>
        <w:t>下达预算资金</w:t>
      </w:r>
      <w:r>
        <w:rPr>
          <w:rFonts w:hint="eastAsia"/>
          <w:color w:val="auto"/>
          <w:lang w:val="en-US" w:eastAsia="zh-CN"/>
        </w:rPr>
        <w:t>指标</w:t>
      </w:r>
      <w:r>
        <w:rPr>
          <w:rFonts w:hint="eastAsia"/>
          <w:lang w:val="zh-CN"/>
        </w:rPr>
        <w:t>1355.85万元到区发展和改革局，</w:t>
      </w:r>
      <w:r>
        <w:rPr>
          <w:rFonts w:hint="eastAsia"/>
          <w:lang w:val="en-US" w:eastAsia="zh-CN"/>
        </w:rPr>
        <w:t>预算资金</w:t>
      </w:r>
      <w:r>
        <w:rPr>
          <w:rFonts w:hint="eastAsia"/>
          <w:color w:val="auto"/>
          <w:highlight w:val="none"/>
          <w:lang w:val="en-US" w:eastAsia="zh-CN"/>
        </w:rPr>
        <w:t>实际</w:t>
      </w:r>
      <w:r>
        <w:rPr>
          <w:rFonts w:hint="eastAsia" w:ascii="Times New Roman" w:hAnsi="Times New Roman"/>
          <w:color w:val="auto"/>
          <w:highlight w:val="none"/>
        </w:rPr>
        <w:t>到位</w:t>
      </w:r>
      <w:r>
        <w:rPr>
          <w:rFonts w:hint="eastAsia"/>
          <w:lang w:val="zh-CN"/>
        </w:rPr>
        <w:t>1355.85</w:t>
      </w:r>
      <w:r>
        <w:rPr>
          <w:rFonts w:hint="eastAsia" w:ascii="Times New Roman" w:hAnsi="Times New Roman"/>
          <w:color w:val="auto"/>
          <w:highlight w:val="none"/>
        </w:rPr>
        <w:t>万元</w:t>
      </w:r>
      <w:r>
        <w:rPr>
          <w:rFonts w:hint="eastAsia"/>
          <w:color w:val="auto"/>
          <w:highlight w:val="none"/>
          <w:lang w:eastAsia="zh-CN"/>
        </w:rPr>
        <w:t>，</w:t>
      </w:r>
      <w:r>
        <w:rPr>
          <w:rFonts w:hint="eastAsia"/>
          <w:lang w:val="zh-CN"/>
        </w:rPr>
        <w:t>资金到位率</w:t>
      </w:r>
      <w:r>
        <w:rPr>
          <w:rFonts w:hint="eastAsia"/>
          <w:lang w:val="en-US" w:eastAsia="zh-CN"/>
        </w:rPr>
        <w:t>100</w:t>
      </w:r>
      <w:r>
        <w:rPr>
          <w:rFonts w:hint="eastAsia"/>
          <w:lang w:val="zh-CN"/>
        </w:rPr>
        <w:t>%。</w:t>
      </w:r>
    </w:p>
    <w:p>
      <w:pPr>
        <w:ind w:firstLine="643"/>
        <w:outlineLvl w:val="2"/>
        <w:rPr>
          <w:rFonts w:hint="eastAsia" w:ascii="Times New Roman" w:hAnsi="Times New Roman" w:cs="Times New Roman"/>
          <w:b/>
          <w:bCs/>
          <w:highlight w:val="none"/>
          <w:lang w:val="zh-CN"/>
        </w:rPr>
      </w:pPr>
      <w:bookmarkStart w:id="9" w:name="_Toc18208"/>
      <w:r>
        <w:rPr>
          <w:rFonts w:hint="eastAsia" w:ascii="Times New Roman" w:hAnsi="Times New Roman" w:cs="Times New Roman"/>
          <w:b/>
          <w:bCs/>
          <w:highlight w:val="none"/>
        </w:rPr>
        <w:t>2.</w:t>
      </w:r>
      <w:r>
        <w:rPr>
          <w:rFonts w:hint="eastAsia" w:ascii="Times New Roman" w:hAnsi="Times New Roman" w:cs="Times New Roman"/>
          <w:b/>
          <w:bCs/>
          <w:highlight w:val="none"/>
          <w:lang w:val="zh-CN"/>
        </w:rPr>
        <w:t>实际支出情况</w:t>
      </w:r>
      <w:bookmarkEnd w:id="9"/>
    </w:p>
    <w:p>
      <w:pPr>
        <w:ind w:firstLine="640"/>
        <w:rPr>
          <w:lang w:val="zh-CN"/>
        </w:rPr>
      </w:pPr>
      <w:r>
        <w:rPr>
          <w:rFonts w:hint="eastAsia"/>
          <w:lang w:val="zh-CN"/>
        </w:rPr>
        <w:t>截至2023年3月31日，本项目已支出</w:t>
      </w:r>
      <w:r>
        <w:rPr>
          <w:rFonts w:hint="eastAsia"/>
          <w:lang w:val="en-US" w:eastAsia="zh-CN"/>
        </w:rPr>
        <w:t>项目预算</w:t>
      </w:r>
      <w:r>
        <w:rPr>
          <w:rFonts w:hint="eastAsia"/>
          <w:lang w:val="zh-CN"/>
        </w:rPr>
        <w:t>资金1355.85万元，资金支出率为</w:t>
      </w:r>
      <w:r>
        <w:rPr>
          <w:rFonts w:hint="eastAsia"/>
          <w:lang w:val="en-US" w:eastAsia="zh-CN"/>
        </w:rPr>
        <w:t>100</w:t>
      </w:r>
      <w:r>
        <w:rPr>
          <w:rFonts w:hint="eastAsia"/>
          <w:lang w:val="zh-CN"/>
        </w:rPr>
        <w:t>%。具体支出明细见下表：</w:t>
      </w:r>
    </w:p>
    <w:p>
      <w:pPr>
        <w:widowControl/>
        <w:spacing w:before="156" w:beforeLines="50" w:line="240" w:lineRule="auto"/>
        <w:ind w:firstLine="0" w:firstLineChars="0"/>
        <w:jc w:val="center"/>
        <w:rPr>
          <w:rFonts w:ascii="Times New Roman" w:hAnsi="Times New Roman" w:eastAsia="幼圆"/>
          <w:b/>
          <w:sz w:val="24"/>
          <w:highlight w:val="none"/>
        </w:rPr>
      </w:pPr>
      <w:r>
        <w:rPr>
          <w:rFonts w:hint="eastAsia" w:ascii="Times New Roman" w:hAnsi="Times New Roman" w:eastAsia="幼圆"/>
          <w:b/>
          <w:sz w:val="24"/>
          <w:highlight w:val="none"/>
        </w:rPr>
        <w:t>表1-</w:t>
      </w:r>
      <w:r>
        <w:rPr>
          <w:rFonts w:hint="eastAsia" w:eastAsia="幼圆"/>
          <w:b/>
          <w:sz w:val="24"/>
          <w:highlight w:val="none"/>
          <w:lang w:val="en-US" w:eastAsia="zh-CN"/>
        </w:rPr>
        <w:t>5</w:t>
      </w:r>
      <w:r>
        <w:rPr>
          <w:rFonts w:hint="eastAsia" w:ascii="Times New Roman" w:hAnsi="Times New Roman" w:eastAsia="幼圆"/>
          <w:b/>
          <w:sz w:val="24"/>
          <w:highlight w:val="none"/>
        </w:rPr>
        <w:t xml:space="preserve">  资金实际收支明细表</w:t>
      </w:r>
    </w:p>
    <w:tbl>
      <w:tblPr>
        <w:tblStyle w:val="16"/>
        <w:tblW w:w="50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6"/>
        <w:gridCol w:w="2088"/>
        <w:gridCol w:w="2129"/>
        <w:gridCol w:w="195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Header/>
          <w:jc w:val="center"/>
        </w:trPr>
        <w:tc>
          <w:tcPr>
            <w:tcW w:w="434"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序号</w:t>
            </w:r>
          </w:p>
        </w:tc>
        <w:tc>
          <w:tcPr>
            <w:tcW w:w="1248"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kern w:val="0"/>
                <w:sz w:val="24"/>
                <w:highlight w:val="none"/>
                <w:lang w:bidi="ar"/>
              </w:rPr>
            </w:pPr>
            <w:r>
              <w:rPr>
                <w:rFonts w:ascii="Times New Roman" w:hAnsi="Times New Roman"/>
                <w:b/>
                <w:color w:val="000000"/>
                <w:kern w:val="0"/>
                <w:sz w:val="24"/>
                <w:highlight w:val="none"/>
                <w:lang w:bidi="ar"/>
              </w:rPr>
              <w:t>单位名称</w:t>
            </w:r>
          </w:p>
        </w:tc>
        <w:tc>
          <w:tcPr>
            <w:tcW w:w="1273"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eastAsia="仿宋_GB2312"/>
                <w:b/>
                <w:color w:val="000000"/>
                <w:sz w:val="24"/>
                <w:highlight w:val="none"/>
                <w:lang w:eastAsia="zh-CN"/>
              </w:rPr>
            </w:pPr>
            <w:r>
              <w:rPr>
                <w:rFonts w:hint="eastAsia"/>
                <w:b/>
                <w:color w:val="000000"/>
                <w:kern w:val="0"/>
                <w:sz w:val="24"/>
                <w:highlight w:val="none"/>
                <w:lang w:val="en-US" w:eastAsia="zh-CN" w:bidi="ar"/>
              </w:rPr>
              <w:t>用途</w:t>
            </w:r>
          </w:p>
        </w:tc>
        <w:tc>
          <w:tcPr>
            <w:tcW w:w="1170"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hint="default"/>
                <w:b/>
                <w:color w:val="000000"/>
                <w:kern w:val="0"/>
                <w:sz w:val="24"/>
                <w:highlight w:val="none"/>
                <w:lang w:val="en-US" w:eastAsia="zh-CN" w:bidi="ar"/>
              </w:rPr>
            </w:pPr>
            <w:r>
              <w:rPr>
                <w:rFonts w:hint="eastAsia"/>
                <w:b/>
                <w:color w:val="000000"/>
                <w:kern w:val="0"/>
                <w:sz w:val="24"/>
                <w:highlight w:val="none"/>
                <w:lang w:val="en-US" w:eastAsia="zh-CN" w:bidi="ar"/>
              </w:rPr>
              <w:t>支出凭证时间</w:t>
            </w:r>
          </w:p>
        </w:tc>
        <w:tc>
          <w:tcPr>
            <w:tcW w:w="873"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kern w:val="0"/>
                <w:sz w:val="24"/>
                <w:highlight w:val="none"/>
                <w:lang w:bidi="ar"/>
              </w:rPr>
            </w:pPr>
            <w:r>
              <w:rPr>
                <w:rFonts w:ascii="Times New Roman" w:hAnsi="Times New Roman"/>
                <w:b/>
                <w:color w:val="000000"/>
                <w:kern w:val="0"/>
                <w:sz w:val="24"/>
                <w:highlight w:val="none"/>
                <w:lang w:bidi="ar"/>
              </w:rPr>
              <w:t>支出金额</w:t>
            </w:r>
          </w:p>
          <w:p>
            <w:pPr>
              <w:widowControl/>
              <w:spacing w:line="240" w:lineRule="auto"/>
              <w:ind w:firstLine="0" w:firstLineChars="0"/>
              <w:jc w:val="center"/>
              <w:textAlignment w:val="center"/>
              <w:rPr>
                <w:rFonts w:ascii="Times New Roman" w:hAnsi="Times New Roman"/>
                <w:b/>
                <w:color w:val="000000"/>
                <w:sz w:val="24"/>
                <w:highlight w:val="none"/>
              </w:rPr>
            </w:pPr>
            <w:r>
              <w:rPr>
                <w:rFonts w:hint="eastAsia" w:ascii="Times New Roman" w:hAnsi="Times New Roman"/>
                <w:b/>
                <w:color w:val="000000"/>
                <w:kern w:val="0"/>
                <w:sz w:val="24"/>
                <w:highlight w:val="none"/>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3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1</w:t>
            </w:r>
          </w:p>
        </w:tc>
        <w:tc>
          <w:tcPr>
            <w:tcW w:w="1248"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潮州市潮安区众好科技有限公司</w:t>
            </w:r>
          </w:p>
        </w:tc>
        <w:tc>
          <w:tcPr>
            <w:tcW w:w="1273"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第一批</w:t>
            </w:r>
            <w:r>
              <w:rPr>
                <w:rFonts w:hint="eastAsia" w:ascii="Times New Roman" w:hAnsi="Times New Roman"/>
                <w:bCs/>
                <w:color w:val="000000"/>
                <w:kern w:val="0"/>
                <w:sz w:val="24"/>
                <w:highlight w:val="none"/>
                <w:lang w:bidi="ar"/>
              </w:rPr>
              <w:t>区级公共卫生应急物资采购项目预付款</w:t>
            </w:r>
          </w:p>
        </w:tc>
        <w:tc>
          <w:tcPr>
            <w:tcW w:w="117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eastAsia"/>
                <w:bCs/>
                <w:color w:val="000000"/>
                <w:kern w:val="0"/>
                <w:sz w:val="24"/>
                <w:highlight w:val="none"/>
                <w:lang w:val="en-US" w:eastAsia="zh-CN" w:bidi="ar"/>
              </w:rPr>
              <w:t>2022年5月13日</w:t>
            </w:r>
          </w:p>
        </w:tc>
        <w:tc>
          <w:tcPr>
            <w:tcW w:w="873"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96</w:t>
            </w:r>
            <w:r>
              <w:rPr>
                <w:rFonts w:hint="eastAsia"/>
                <w:bCs/>
                <w:color w:val="000000"/>
                <w:kern w:val="0"/>
                <w:sz w:val="24"/>
                <w:highlight w:val="none"/>
                <w:lang w:val="en-US" w:eastAsia="zh-CN" w:bidi="ar"/>
              </w:rPr>
              <w:t>.</w:t>
            </w:r>
            <w:r>
              <w:rPr>
                <w:rFonts w:hint="eastAsia" w:ascii="Times New Roman" w:hAnsi="Times New Roman"/>
                <w:bCs/>
                <w:color w:val="000000"/>
                <w:kern w:val="0"/>
                <w:sz w:val="24"/>
                <w:highlight w:val="none"/>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3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2</w:t>
            </w:r>
          </w:p>
        </w:tc>
        <w:tc>
          <w:tcPr>
            <w:tcW w:w="1248"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潮州市潮安区众好科技有限公司</w:t>
            </w:r>
          </w:p>
        </w:tc>
        <w:tc>
          <w:tcPr>
            <w:tcW w:w="1273"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第一批</w:t>
            </w:r>
            <w:r>
              <w:rPr>
                <w:rFonts w:hint="eastAsia" w:ascii="Times New Roman" w:hAnsi="Times New Roman"/>
                <w:bCs/>
                <w:color w:val="000000"/>
                <w:kern w:val="0"/>
                <w:sz w:val="24"/>
                <w:highlight w:val="none"/>
                <w:lang w:bidi="ar"/>
              </w:rPr>
              <w:t>区级公共卫生应急物资采购项目</w:t>
            </w:r>
            <w:r>
              <w:rPr>
                <w:rFonts w:hint="eastAsia" w:ascii="Times New Roman" w:hAnsi="Times New Roman"/>
                <w:bCs/>
                <w:color w:val="000000"/>
                <w:kern w:val="0"/>
                <w:sz w:val="24"/>
                <w:highlight w:val="none"/>
                <w:lang w:val="en-US" w:eastAsia="zh-CN" w:bidi="ar"/>
              </w:rPr>
              <w:t>余</w:t>
            </w:r>
            <w:r>
              <w:rPr>
                <w:rFonts w:hint="eastAsia" w:ascii="Times New Roman" w:hAnsi="Times New Roman"/>
                <w:bCs/>
                <w:color w:val="000000"/>
                <w:kern w:val="0"/>
                <w:sz w:val="24"/>
                <w:highlight w:val="none"/>
                <w:lang w:bidi="ar"/>
              </w:rPr>
              <w:t>款</w:t>
            </w:r>
          </w:p>
        </w:tc>
        <w:tc>
          <w:tcPr>
            <w:tcW w:w="117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eastAsia"/>
                <w:bCs/>
                <w:color w:val="000000"/>
                <w:kern w:val="0"/>
                <w:sz w:val="24"/>
                <w:highlight w:val="none"/>
                <w:lang w:val="en-US" w:eastAsia="zh-CN" w:bidi="ar"/>
              </w:rPr>
              <w:t>2022年7月25日</w:t>
            </w:r>
          </w:p>
        </w:tc>
        <w:tc>
          <w:tcPr>
            <w:tcW w:w="873" w:type="pct"/>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eastAsia="仿宋_GB2312"/>
                <w:bCs/>
                <w:color w:val="000000"/>
                <w:kern w:val="0"/>
                <w:sz w:val="24"/>
                <w:highlight w:val="none"/>
                <w:lang w:eastAsia="zh-CN" w:bidi="ar"/>
              </w:rPr>
            </w:pPr>
            <w:r>
              <w:rPr>
                <w:rFonts w:hint="eastAsia" w:ascii="Times New Roman" w:hAnsi="Times New Roman"/>
                <w:bCs/>
                <w:color w:val="000000"/>
                <w:kern w:val="0"/>
                <w:sz w:val="24"/>
                <w:highlight w:val="none"/>
                <w:lang w:bidi="ar"/>
              </w:rPr>
              <w:t>226</w:t>
            </w:r>
            <w:r>
              <w:rPr>
                <w:rFonts w:hint="eastAsia"/>
                <w:bCs/>
                <w:color w:val="000000"/>
                <w:kern w:val="0"/>
                <w:sz w:val="24"/>
                <w:highlight w:val="none"/>
                <w:lang w:val="en-US" w:eastAsia="zh-CN" w:bidi="ar"/>
              </w:rPr>
              <w:t>.</w:t>
            </w:r>
            <w:r>
              <w:rPr>
                <w:rFonts w:hint="eastAsia" w:ascii="Times New Roman" w:hAnsi="Times New Roman"/>
                <w:bCs/>
                <w:color w:val="000000"/>
                <w:kern w:val="0"/>
                <w:sz w:val="24"/>
                <w:highlight w:val="none"/>
                <w:lang w:bidi="ar"/>
              </w:rPr>
              <w:t>0</w:t>
            </w:r>
            <w:r>
              <w:rPr>
                <w:rFonts w:hint="eastAsia"/>
                <w:bCs/>
                <w:color w:val="000000"/>
                <w:kern w:val="0"/>
                <w:sz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34"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3</w:t>
            </w:r>
          </w:p>
        </w:tc>
        <w:tc>
          <w:tcPr>
            <w:tcW w:w="1248"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吉安培风贸易有限公司</w:t>
            </w:r>
          </w:p>
        </w:tc>
        <w:tc>
          <w:tcPr>
            <w:tcW w:w="1273"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第二批</w:t>
            </w:r>
            <w:r>
              <w:rPr>
                <w:rFonts w:hint="eastAsia" w:ascii="Times New Roman" w:hAnsi="Times New Roman"/>
                <w:bCs/>
                <w:color w:val="000000"/>
                <w:kern w:val="0"/>
                <w:sz w:val="24"/>
                <w:highlight w:val="none"/>
                <w:lang w:bidi="ar"/>
              </w:rPr>
              <w:t>区级公共卫生应急物资采购项目预付款</w:t>
            </w:r>
          </w:p>
        </w:tc>
        <w:tc>
          <w:tcPr>
            <w:tcW w:w="1170"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2022年6月23日</w:t>
            </w:r>
          </w:p>
        </w:tc>
        <w:tc>
          <w:tcPr>
            <w:tcW w:w="873" w:type="pct"/>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eastAsia="仿宋_GB2312"/>
                <w:bCs/>
                <w:color w:val="000000"/>
                <w:kern w:val="0"/>
                <w:sz w:val="24"/>
                <w:highlight w:val="none"/>
                <w:lang w:eastAsia="zh-CN" w:bidi="ar"/>
              </w:rPr>
            </w:pPr>
            <w:r>
              <w:rPr>
                <w:rFonts w:hint="eastAsia" w:ascii="Times New Roman" w:hAnsi="Times New Roman"/>
                <w:bCs/>
                <w:color w:val="000000"/>
                <w:kern w:val="0"/>
                <w:sz w:val="24"/>
                <w:highlight w:val="none"/>
                <w:lang w:bidi="ar"/>
              </w:rPr>
              <w:t>413</w:t>
            </w:r>
            <w:r>
              <w:rPr>
                <w:rFonts w:hint="eastAsia"/>
                <w:bCs/>
                <w:color w:val="000000"/>
                <w:kern w:val="0"/>
                <w:sz w:val="24"/>
                <w:highlight w:val="none"/>
                <w:lang w:val="en-US" w:eastAsia="zh-CN" w:bidi="ar"/>
              </w:rPr>
              <w:t>.</w:t>
            </w:r>
            <w:r>
              <w:rPr>
                <w:rFonts w:hint="eastAsia" w:ascii="Times New Roman" w:hAnsi="Times New Roman"/>
                <w:bCs/>
                <w:color w:val="000000"/>
                <w:kern w:val="0"/>
                <w:sz w:val="24"/>
                <w:highlight w:val="none"/>
                <w:lang w:bidi="ar"/>
              </w:rPr>
              <w:t>1</w:t>
            </w:r>
            <w:r>
              <w:rPr>
                <w:rFonts w:hint="eastAsia"/>
                <w:bCs/>
                <w:color w:val="000000"/>
                <w:kern w:val="0"/>
                <w:sz w:val="24"/>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34"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4</w:t>
            </w:r>
          </w:p>
        </w:tc>
        <w:tc>
          <w:tcPr>
            <w:tcW w:w="1248"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吉安培风贸易有限公司</w:t>
            </w:r>
          </w:p>
        </w:tc>
        <w:tc>
          <w:tcPr>
            <w:tcW w:w="127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第二批</w:t>
            </w:r>
            <w:r>
              <w:rPr>
                <w:rFonts w:hint="eastAsia" w:ascii="Times New Roman" w:hAnsi="Times New Roman"/>
                <w:bCs/>
                <w:color w:val="000000"/>
                <w:kern w:val="0"/>
                <w:sz w:val="24"/>
                <w:highlight w:val="none"/>
                <w:lang w:bidi="ar"/>
              </w:rPr>
              <w:t>区级公共卫生应急物资采购项目</w:t>
            </w:r>
            <w:r>
              <w:rPr>
                <w:rFonts w:hint="eastAsia" w:ascii="Times New Roman" w:hAnsi="Times New Roman"/>
                <w:bCs/>
                <w:color w:val="000000"/>
                <w:kern w:val="0"/>
                <w:sz w:val="24"/>
                <w:highlight w:val="none"/>
                <w:lang w:val="en-US" w:eastAsia="zh-CN" w:bidi="ar"/>
              </w:rPr>
              <w:t>余</w:t>
            </w:r>
            <w:r>
              <w:rPr>
                <w:rFonts w:hint="eastAsia" w:ascii="Times New Roman" w:hAnsi="Times New Roman"/>
                <w:bCs/>
                <w:color w:val="000000"/>
                <w:kern w:val="0"/>
                <w:sz w:val="24"/>
                <w:highlight w:val="none"/>
                <w:lang w:bidi="ar"/>
              </w:rPr>
              <w:t>款</w:t>
            </w:r>
          </w:p>
        </w:tc>
        <w:tc>
          <w:tcPr>
            <w:tcW w:w="1170"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2022年11月04日</w:t>
            </w:r>
          </w:p>
        </w:tc>
        <w:tc>
          <w:tcPr>
            <w:tcW w:w="873" w:type="pct"/>
            <w:vAlign w:val="center"/>
          </w:tcPr>
          <w:p>
            <w:pPr>
              <w:widowControl/>
              <w:spacing w:line="240" w:lineRule="auto"/>
              <w:ind w:firstLine="0" w:firstLineChars="0"/>
              <w:jc w:val="center"/>
              <w:textAlignment w:val="center"/>
              <w:rPr>
                <w:rFonts w:hint="eastAsia" w:ascii="Times New Roman" w:hAnsi="Times New Roman" w:eastAsia="仿宋_GB2312"/>
                <w:bCs/>
                <w:color w:val="000000"/>
                <w:kern w:val="0"/>
                <w:sz w:val="24"/>
                <w:highlight w:val="none"/>
                <w:lang w:eastAsia="zh-CN" w:bidi="ar"/>
              </w:rPr>
            </w:pPr>
            <w:r>
              <w:rPr>
                <w:rFonts w:hint="eastAsia" w:ascii="Times New Roman" w:hAnsi="Times New Roman"/>
                <w:bCs/>
                <w:color w:val="000000"/>
                <w:kern w:val="0"/>
                <w:sz w:val="24"/>
                <w:highlight w:val="none"/>
                <w:lang w:bidi="ar"/>
              </w:rPr>
              <w:t>619</w:t>
            </w:r>
            <w:r>
              <w:rPr>
                <w:rFonts w:hint="eastAsia"/>
                <w:bCs/>
                <w:color w:val="000000"/>
                <w:kern w:val="0"/>
                <w:sz w:val="24"/>
                <w:highlight w:val="none"/>
                <w:lang w:val="en-US" w:eastAsia="zh-CN" w:bidi="ar"/>
              </w:rPr>
              <w:t>.</w:t>
            </w:r>
            <w:r>
              <w:rPr>
                <w:rFonts w:hint="eastAsia" w:ascii="Times New Roman" w:hAnsi="Times New Roman"/>
                <w:bCs/>
                <w:color w:val="000000"/>
                <w:kern w:val="0"/>
                <w:sz w:val="24"/>
                <w:highlight w:val="none"/>
                <w:lang w:bidi="ar"/>
              </w:rPr>
              <w:t>7</w:t>
            </w:r>
            <w:r>
              <w:rPr>
                <w:rFonts w:hint="eastAsia"/>
                <w:bCs/>
                <w:color w:val="000000"/>
                <w:kern w:val="0"/>
                <w:sz w:val="24"/>
                <w:highlight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126" w:type="pct"/>
            <w:gridSpan w:val="4"/>
            <w:vAlign w:val="center"/>
          </w:tcPr>
          <w:p>
            <w:pPr>
              <w:widowControl/>
              <w:spacing w:line="240" w:lineRule="auto"/>
              <w:ind w:firstLine="0" w:firstLineChars="0"/>
              <w:jc w:val="center"/>
              <w:textAlignment w:val="center"/>
              <w:rPr>
                <w:rFonts w:hint="eastAsia" w:ascii="Times New Roman" w:hAnsi="Times New Roman"/>
                <w:b/>
                <w:color w:val="000000"/>
                <w:kern w:val="0"/>
                <w:sz w:val="24"/>
                <w:highlight w:val="none"/>
                <w:lang w:bidi="ar"/>
              </w:rPr>
            </w:pPr>
            <w:r>
              <w:rPr>
                <w:rFonts w:hint="eastAsia" w:ascii="Times New Roman" w:hAnsi="Times New Roman"/>
                <w:b/>
                <w:color w:val="000000"/>
                <w:kern w:val="0"/>
                <w:sz w:val="24"/>
                <w:highlight w:val="none"/>
                <w:lang w:bidi="ar"/>
              </w:rPr>
              <w:t>合计</w:t>
            </w:r>
          </w:p>
        </w:tc>
        <w:tc>
          <w:tcPr>
            <w:tcW w:w="873" w:type="pct"/>
            <w:vAlign w:val="center"/>
          </w:tcPr>
          <w:p>
            <w:pPr>
              <w:widowControl/>
              <w:spacing w:line="240" w:lineRule="auto"/>
              <w:ind w:firstLine="0" w:firstLineChars="0"/>
              <w:jc w:val="center"/>
              <w:textAlignment w:val="center"/>
              <w:rPr>
                <w:rFonts w:hint="default" w:ascii="Times New Roman" w:hAnsi="Times New Roman" w:eastAsia="仿宋_GB2312"/>
                <w:b/>
                <w:color w:val="000000"/>
                <w:kern w:val="0"/>
                <w:sz w:val="24"/>
                <w:highlight w:val="none"/>
                <w:lang w:val="en-US" w:eastAsia="zh-CN" w:bidi="ar"/>
              </w:rPr>
            </w:pPr>
            <w:r>
              <w:rPr>
                <w:rFonts w:hint="eastAsia"/>
                <w:b/>
                <w:color w:val="000000"/>
                <w:kern w:val="0"/>
                <w:sz w:val="24"/>
                <w:highlight w:val="none"/>
                <w:lang w:val="en-US" w:eastAsia="zh-CN" w:bidi="ar"/>
              </w:rPr>
              <w:t>1355.85</w:t>
            </w:r>
          </w:p>
        </w:tc>
      </w:tr>
    </w:tbl>
    <w:p>
      <w:pPr>
        <w:pStyle w:val="2"/>
        <w:spacing w:before="156" w:after="156"/>
        <w:ind w:firstLine="640"/>
        <w:rPr>
          <w:rFonts w:ascii="Times New Roman" w:hAnsi="Times New Roman"/>
          <w:highlight w:val="none"/>
        </w:rPr>
      </w:pPr>
      <w:bookmarkStart w:id="10" w:name="_Toc2131"/>
      <w:bookmarkStart w:id="11" w:name="_Toc14924"/>
      <w:r>
        <w:rPr>
          <w:rFonts w:hint="eastAsia" w:ascii="Times New Roman" w:hAnsi="Times New Roman"/>
          <w:highlight w:val="none"/>
        </w:rPr>
        <w:t>二、评价结论</w:t>
      </w:r>
      <w:bookmarkEnd w:id="10"/>
      <w:bookmarkEnd w:id="11"/>
    </w:p>
    <w:p>
      <w:pPr>
        <w:ind w:firstLine="640"/>
        <w:rPr>
          <w:rFonts w:ascii="Times New Roman" w:hAnsi="Times New Roman" w:cs="仿宋_GB2312"/>
          <w:color w:val="000000"/>
          <w:szCs w:val="32"/>
          <w:highlight w:val="none"/>
        </w:rPr>
      </w:pPr>
      <w:r>
        <w:rPr>
          <w:rFonts w:hint="eastAsia" w:ascii="Times New Roman" w:hAnsi="Times New Roman" w:cs="仿宋_GB2312"/>
          <w:color w:val="000000"/>
          <w:szCs w:val="32"/>
          <w:highlight w:val="none"/>
        </w:rPr>
        <w:t>评价工作组依据项目绩效指标体系和评分标准（详见附件2），评定“区级公共卫生应急物资采购项目”的整体绩效</w:t>
      </w:r>
      <w:r>
        <w:rPr>
          <w:rFonts w:hint="eastAsia" w:ascii="Times New Roman" w:hAnsi="Times New Roman" w:cs="仿宋_GB2312"/>
          <w:color w:val="000000"/>
          <w:szCs w:val="32"/>
          <w:highlight w:val="none"/>
          <w:lang w:val="en-US" w:eastAsia="zh-CN"/>
        </w:rPr>
        <w:t>总</w:t>
      </w:r>
      <w:r>
        <w:rPr>
          <w:rFonts w:hint="eastAsia" w:ascii="Times New Roman" w:hAnsi="Times New Roman" w:cs="仿宋_GB2312"/>
          <w:color w:val="000000"/>
          <w:szCs w:val="32"/>
          <w:highlight w:val="none"/>
        </w:rPr>
        <w:t>分为</w:t>
      </w:r>
      <w:r>
        <w:rPr>
          <w:rFonts w:hint="eastAsia" w:cs="仿宋_GB2312"/>
          <w:b/>
          <w:bCs/>
          <w:color w:val="000000"/>
          <w:szCs w:val="32"/>
          <w:highlight w:val="none"/>
          <w:lang w:val="en-US" w:eastAsia="zh-CN"/>
        </w:rPr>
        <w:t>82.5</w:t>
      </w:r>
      <w:r>
        <w:rPr>
          <w:rFonts w:hint="eastAsia" w:ascii="Times New Roman" w:hAnsi="Times New Roman" w:cs="仿宋_GB2312"/>
          <w:color w:val="000000"/>
          <w:szCs w:val="32"/>
          <w:highlight w:val="none"/>
        </w:rPr>
        <w:t>分，绩效等级为“</w:t>
      </w:r>
      <w:r>
        <w:rPr>
          <w:rFonts w:hint="eastAsia" w:cs="仿宋_GB2312"/>
          <w:b/>
          <w:bCs/>
          <w:color w:val="000000"/>
          <w:szCs w:val="32"/>
          <w:highlight w:val="none"/>
          <w:lang w:val="en-US" w:eastAsia="zh-CN"/>
        </w:rPr>
        <w:t>良</w:t>
      </w:r>
      <w:r>
        <w:rPr>
          <w:rFonts w:hint="eastAsia" w:ascii="Times New Roman" w:hAnsi="Times New Roman" w:cs="仿宋_GB2312"/>
          <w:color w:val="000000"/>
          <w:szCs w:val="32"/>
          <w:highlight w:val="none"/>
        </w:rPr>
        <w:t>”。</w:t>
      </w:r>
    </w:p>
    <w:p>
      <w:pPr>
        <w:ind w:firstLine="640"/>
        <w:rPr>
          <w:rFonts w:ascii="Times New Roman" w:hAnsi="Times New Roman"/>
          <w:highlight w:val="none"/>
        </w:rPr>
      </w:pPr>
      <w:r>
        <w:rPr>
          <w:rFonts w:ascii="Times New Roman" w:hAnsi="Times New Roman"/>
          <w:highlight w:val="none"/>
        </w:rPr>
        <w:t>整体来看，项目在</w:t>
      </w:r>
      <w:r>
        <w:rPr>
          <w:rFonts w:hint="eastAsia" w:ascii="Times New Roman" w:hAnsi="Times New Roman"/>
          <w:highlight w:val="none"/>
        </w:rPr>
        <w:t>项目效益方面表现一般；在项目决策、过程管理、项目产出方面表现良好。一级、二级指标得分率见下表</w:t>
      </w:r>
      <w:r>
        <w:rPr>
          <w:rFonts w:hint="eastAsia"/>
          <w:highlight w:val="none"/>
          <w:lang w:val="en-US" w:eastAsia="zh-CN"/>
        </w:rPr>
        <w:t>2-1</w:t>
      </w:r>
      <w:r>
        <w:rPr>
          <w:rFonts w:hint="eastAsia" w:ascii="Times New Roman" w:hAnsi="Times New Roman"/>
          <w:highlight w:val="none"/>
        </w:rPr>
        <w:t>。</w:t>
      </w:r>
    </w:p>
    <w:p>
      <w:pPr>
        <w:widowControl/>
        <w:spacing w:before="156" w:beforeLines="50" w:line="240" w:lineRule="auto"/>
        <w:ind w:firstLine="0" w:firstLineChars="0"/>
        <w:jc w:val="center"/>
        <w:rPr>
          <w:rFonts w:hint="eastAsia" w:ascii="Times New Roman" w:hAnsi="Times New Roman" w:eastAsia="幼圆"/>
          <w:b/>
          <w:sz w:val="24"/>
          <w:highlight w:val="none"/>
        </w:rPr>
      </w:pPr>
      <w:r>
        <w:rPr>
          <w:rFonts w:hint="eastAsia" w:ascii="Times New Roman" w:hAnsi="Times New Roman" w:eastAsia="幼圆"/>
          <w:b/>
          <w:sz w:val="24"/>
          <w:highlight w:val="none"/>
        </w:rPr>
        <w:t>表2-1  一、二级指标得分情况</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2136"/>
        <w:gridCol w:w="1348"/>
        <w:gridCol w:w="156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03" w:type="pct"/>
            <w:shd w:val="clear" w:color="auto" w:fill="F1F1F1" w:themeFill="background1" w:themeFillShade="F2"/>
            <w:vAlign w:val="center"/>
          </w:tcPr>
          <w:p>
            <w:pPr>
              <w:widowControl/>
              <w:spacing w:line="240" w:lineRule="auto"/>
              <w:ind w:firstLine="0" w:firstLineChars="0"/>
              <w:jc w:val="center"/>
              <w:textAlignment w:val="center"/>
              <w:rPr>
                <w:rFonts w:ascii="Times New Roman" w:hAnsi="Times New Roman"/>
                <w:b/>
                <w:color w:val="000000"/>
                <w:kern w:val="0"/>
                <w:sz w:val="24"/>
                <w:highlight w:val="none"/>
                <w:lang w:bidi="ar"/>
              </w:rPr>
            </w:pPr>
            <w:r>
              <w:rPr>
                <w:rFonts w:hint="eastAsia" w:ascii="Times New Roman" w:hAnsi="Times New Roman"/>
                <w:b/>
                <w:color w:val="000000"/>
                <w:kern w:val="0"/>
                <w:sz w:val="24"/>
                <w:highlight w:val="none"/>
                <w:lang w:bidi="ar"/>
              </w:rPr>
              <w:t>一级指标</w:t>
            </w:r>
          </w:p>
        </w:tc>
        <w:tc>
          <w:tcPr>
            <w:tcW w:w="1253" w:type="pct"/>
            <w:shd w:val="clear" w:color="auto" w:fill="F1F1F1" w:themeFill="background1" w:themeFillShade="F2"/>
            <w:vAlign w:val="center"/>
          </w:tcPr>
          <w:p>
            <w:pPr>
              <w:widowControl/>
              <w:spacing w:line="240" w:lineRule="auto"/>
              <w:ind w:firstLine="0" w:firstLineChars="0"/>
              <w:jc w:val="center"/>
              <w:textAlignment w:val="center"/>
              <w:rPr>
                <w:rFonts w:ascii="Times New Roman" w:hAnsi="Times New Roman"/>
                <w:b/>
                <w:color w:val="000000"/>
                <w:kern w:val="0"/>
                <w:sz w:val="24"/>
                <w:highlight w:val="none"/>
                <w:lang w:bidi="ar"/>
              </w:rPr>
            </w:pPr>
            <w:r>
              <w:rPr>
                <w:rFonts w:hint="eastAsia" w:ascii="Times New Roman" w:hAnsi="Times New Roman"/>
                <w:b/>
                <w:color w:val="000000"/>
                <w:kern w:val="0"/>
                <w:sz w:val="24"/>
                <w:highlight w:val="none"/>
                <w:lang w:bidi="ar"/>
              </w:rPr>
              <w:t>二级指标</w:t>
            </w:r>
          </w:p>
        </w:tc>
        <w:tc>
          <w:tcPr>
            <w:tcW w:w="791" w:type="pct"/>
            <w:shd w:val="clear" w:color="auto" w:fill="F1F1F1" w:themeFill="background1" w:themeFillShade="F2"/>
            <w:vAlign w:val="center"/>
          </w:tcPr>
          <w:p>
            <w:pPr>
              <w:widowControl/>
              <w:spacing w:line="240" w:lineRule="auto"/>
              <w:ind w:firstLine="0" w:firstLineChars="0"/>
              <w:jc w:val="center"/>
              <w:textAlignment w:val="center"/>
              <w:rPr>
                <w:rFonts w:hint="default" w:ascii="Times New Roman" w:hAnsi="Times New Roman" w:eastAsia="仿宋_GB2312"/>
                <w:b/>
                <w:color w:val="000000"/>
                <w:kern w:val="0"/>
                <w:sz w:val="24"/>
                <w:highlight w:val="none"/>
                <w:lang w:val="en-US" w:eastAsia="zh-CN" w:bidi="ar"/>
              </w:rPr>
            </w:pPr>
            <w:r>
              <w:rPr>
                <w:rFonts w:hint="eastAsia"/>
                <w:b/>
                <w:color w:val="000000"/>
                <w:kern w:val="0"/>
                <w:sz w:val="24"/>
                <w:highlight w:val="none"/>
                <w:lang w:val="en-US" w:eastAsia="zh-CN" w:bidi="ar"/>
              </w:rPr>
              <w:t>分值</w:t>
            </w:r>
          </w:p>
        </w:tc>
        <w:tc>
          <w:tcPr>
            <w:tcW w:w="919" w:type="pct"/>
            <w:shd w:val="clear" w:color="auto" w:fill="F1F1F1" w:themeFill="background1" w:themeFillShade="F2"/>
            <w:vAlign w:val="center"/>
          </w:tcPr>
          <w:p>
            <w:pPr>
              <w:widowControl/>
              <w:spacing w:line="240" w:lineRule="auto"/>
              <w:ind w:firstLine="0" w:firstLineChars="0"/>
              <w:jc w:val="center"/>
              <w:textAlignment w:val="center"/>
              <w:rPr>
                <w:rFonts w:hint="default" w:ascii="Times New Roman" w:hAnsi="Times New Roman" w:eastAsia="仿宋_GB2312"/>
                <w:b/>
                <w:color w:val="000000"/>
                <w:kern w:val="0"/>
                <w:sz w:val="24"/>
                <w:highlight w:val="none"/>
                <w:lang w:val="en-US" w:eastAsia="zh-CN" w:bidi="ar"/>
              </w:rPr>
            </w:pPr>
            <w:r>
              <w:rPr>
                <w:rFonts w:hint="eastAsia"/>
                <w:b/>
                <w:color w:val="000000"/>
                <w:kern w:val="0"/>
                <w:sz w:val="24"/>
                <w:highlight w:val="none"/>
                <w:lang w:val="en-US" w:eastAsia="zh-CN" w:bidi="ar"/>
              </w:rPr>
              <w:t>实际得分</w:t>
            </w:r>
          </w:p>
        </w:tc>
        <w:tc>
          <w:tcPr>
            <w:tcW w:w="1132" w:type="pct"/>
            <w:shd w:val="clear" w:color="auto" w:fill="F1F1F1" w:themeFill="background1" w:themeFillShade="F2"/>
            <w:vAlign w:val="center"/>
          </w:tcPr>
          <w:p>
            <w:pPr>
              <w:widowControl/>
              <w:spacing w:line="240" w:lineRule="auto"/>
              <w:ind w:firstLine="0" w:firstLineChars="0"/>
              <w:jc w:val="center"/>
              <w:textAlignment w:val="center"/>
              <w:rPr>
                <w:rFonts w:ascii="Times New Roman" w:hAnsi="Times New Roman"/>
                <w:b/>
                <w:color w:val="000000"/>
                <w:kern w:val="0"/>
                <w:sz w:val="24"/>
                <w:highlight w:val="none"/>
                <w:lang w:bidi="ar"/>
              </w:rPr>
            </w:pPr>
            <w:r>
              <w:rPr>
                <w:rFonts w:hint="eastAsia" w:ascii="Times New Roman" w:hAnsi="Times New Roman"/>
                <w:b/>
                <w:color w:val="000000"/>
                <w:kern w:val="0"/>
                <w:sz w:val="24"/>
                <w:highlight w:val="none"/>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restart"/>
            <w:vAlign w:val="center"/>
          </w:tcPr>
          <w:p>
            <w:pPr>
              <w:widowControl/>
              <w:spacing w:line="240" w:lineRule="auto"/>
              <w:ind w:firstLine="0" w:firstLineChars="0"/>
              <w:jc w:val="center"/>
              <w:textAlignment w:val="center"/>
              <w:rPr>
                <w:rFonts w:hint="eastAsia"/>
                <w:bCs/>
                <w:color w:val="000000"/>
                <w:kern w:val="0"/>
                <w:sz w:val="24"/>
                <w:highlight w:val="none"/>
                <w:lang w:bidi="ar"/>
              </w:rPr>
            </w:pPr>
            <w:r>
              <w:rPr>
                <w:rFonts w:hint="eastAsia"/>
                <w:bCs/>
                <w:color w:val="000000"/>
                <w:kern w:val="0"/>
                <w:sz w:val="24"/>
                <w:highlight w:val="none"/>
                <w:lang w:bidi="ar"/>
              </w:rPr>
              <w:t>项目决策</w:t>
            </w:r>
          </w:p>
          <w:p>
            <w:pPr>
              <w:widowControl/>
              <w:spacing w:line="240" w:lineRule="auto"/>
              <w:ind w:firstLine="0" w:firstLineChars="0"/>
              <w:jc w:val="center"/>
              <w:textAlignment w:val="center"/>
              <w:rPr>
                <w:rFonts w:hint="eastAsia" w:eastAsia="仿宋_GB2312"/>
                <w:lang w:eastAsia="zh-CN"/>
              </w:rPr>
            </w:pPr>
            <w:r>
              <w:rPr>
                <w:rFonts w:hint="eastAsia"/>
                <w:sz w:val="24"/>
                <w:szCs w:val="21"/>
                <w:lang w:eastAsia="zh-CN"/>
              </w:rPr>
              <w:t>（</w:t>
            </w:r>
            <w:r>
              <w:rPr>
                <w:rFonts w:hint="eastAsia"/>
                <w:sz w:val="24"/>
                <w:szCs w:val="21"/>
                <w:lang w:val="en-US" w:eastAsia="zh-CN"/>
              </w:rPr>
              <w:t>22</w:t>
            </w:r>
            <w:r>
              <w:rPr>
                <w:rFonts w:hint="eastAsia"/>
                <w:sz w:val="24"/>
                <w:szCs w:val="21"/>
                <w:lang w:eastAsia="zh-CN"/>
              </w:rPr>
              <w:t>）</w:t>
            </w: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项目立项</w:t>
            </w:r>
          </w:p>
        </w:tc>
        <w:tc>
          <w:tcPr>
            <w:tcW w:w="791"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919"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100</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绩效目标</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7</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42.86</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资金投入</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12</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12</w:t>
            </w:r>
          </w:p>
        </w:tc>
        <w:tc>
          <w:tcPr>
            <w:tcW w:w="1132" w:type="pct"/>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100</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restar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过程管理</w:t>
            </w:r>
            <w:r>
              <w:rPr>
                <w:rFonts w:hint="eastAsia"/>
                <w:sz w:val="24"/>
                <w:szCs w:val="21"/>
                <w:lang w:eastAsia="zh-CN"/>
              </w:rPr>
              <w:t>（</w:t>
            </w:r>
            <w:r>
              <w:rPr>
                <w:rFonts w:hint="eastAsia"/>
                <w:sz w:val="24"/>
                <w:szCs w:val="21"/>
                <w:lang w:val="en-US" w:eastAsia="zh-CN"/>
              </w:rPr>
              <w:t>28</w:t>
            </w:r>
            <w:r>
              <w:rPr>
                <w:rFonts w:hint="eastAsia"/>
                <w:sz w:val="24"/>
                <w:szCs w:val="21"/>
                <w:lang w:eastAsia="zh-CN"/>
              </w:rPr>
              <w:t>）</w:t>
            </w: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资金管理</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16</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14</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87.5</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组织实施</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12</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8</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66.67</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03" w:type="pct"/>
            <w:vMerge w:val="restar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项目产出</w:t>
            </w:r>
            <w:r>
              <w:rPr>
                <w:rFonts w:hint="eastAsia"/>
                <w:sz w:val="24"/>
                <w:szCs w:val="21"/>
                <w:lang w:eastAsia="zh-CN"/>
              </w:rPr>
              <w:t>（</w:t>
            </w:r>
            <w:r>
              <w:rPr>
                <w:rFonts w:hint="eastAsia"/>
                <w:sz w:val="24"/>
                <w:szCs w:val="21"/>
                <w:lang w:val="en-US" w:eastAsia="zh-CN"/>
              </w:rPr>
              <w:t>20</w:t>
            </w:r>
            <w:r>
              <w:rPr>
                <w:rFonts w:hint="eastAsia"/>
                <w:sz w:val="24"/>
                <w:szCs w:val="21"/>
                <w:lang w:eastAsia="zh-CN"/>
              </w:rPr>
              <w:t>）</w:t>
            </w: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产出数量</w:t>
            </w:r>
          </w:p>
        </w:tc>
        <w:tc>
          <w:tcPr>
            <w:tcW w:w="791"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919"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1132" w:type="pct"/>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100</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产出质量</w:t>
            </w:r>
          </w:p>
        </w:tc>
        <w:tc>
          <w:tcPr>
            <w:tcW w:w="791"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919"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4</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80</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产出效率</w:t>
            </w:r>
          </w:p>
        </w:tc>
        <w:tc>
          <w:tcPr>
            <w:tcW w:w="791"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919"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2.5</w:t>
            </w:r>
          </w:p>
        </w:tc>
        <w:tc>
          <w:tcPr>
            <w:tcW w:w="1132" w:type="pct"/>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50</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产出成本</w:t>
            </w:r>
          </w:p>
        </w:tc>
        <w:tc>
          <w:tcPr>
            <w:tcW w:w="791"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919"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1132" w:type="pct"/>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60</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restar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项目效益</w:t>
            </w:r>
            <w:r>
              <w:rPr>
                <w:rFonts w:hint="eastAsia"/>
                <w:sz w:val="24"/>
                <w:szCs w:val="21"/>
                <w:lang w:eastAsia="zh-CN"/>
              </w:rPr>
              <w:t>（</w:t>
            </w:r>
            <w:r>
              <w:rPr>
                <w:rFonts w:hint="eastAsia"/>
                <w:sz w:val="24"/>
                <w:szCs w:val="21"/>
                <w:lang w:val="en-US" w:eastAsia="zh-CN"/>
              </w:rPr>
              <w:t>30</w:t>
            </w:r>
            <w:r>
              <w:rPr>
                <w:rFonts w:hint="eastAsia"/>
                <w:sz w:val="24"/>
                <w:szCs w:val="21"/>
                <w:lang w:eastAsia="zh-CN"/>
              </w:rPr>
              <w:t>）</w:t>
            </w: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效果性</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25</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25</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100</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公平性（满意度）</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60</w:t>
            </w:r>
            <w:r>
              <w:rPr>
                <w:rFonts w:hint="eastAsia" w:ascii="Times New Roman" w:hAnsi="Times New Roman"/>
                <w:b w:val="0"/>
                <w:bCs/>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pct"/>
            <w:gridSpan w:val="2"/>
            <w:vAlign w:val="center"/>
          </w:tcPr>
          <w:p>
            <w:pPr>
              <w:widowControl/>
              <w:spacing w:line="240" w:lineRule="auto"/>
              <w:ind w:firstLine="0" w:firstLineChars="0"/>
              <w:jc w:val="center"/>
              <w:textAlignment w:val="center"/>
              <w:rPr>
                <w:rFonts w:hint="eastAsia" w:ascii="Times New Roman" w:hAnsi="Times New Roman" w:eastAsia="仿宋_GB2312"/>
                <w:bCs/>
                <w:color w:val="000000"/>
                <w:kern w:val="0"/>
                <w:sz w:val="24"/>
                <w:highlight w:val="none"/>
                <w:lang w:val="en-US" w:eastAsia="zh-CN" w:bidi="ar"/>
              </w:rPr>
            </w:pPr>
            <w:r>
              <w:rPr>
                <w:rFonts w:hint="eastAsia"/>
                <w:b/>
                <w:bCs w:val="0"/>
                <w:color w:val="000000"/>
                <w:kern w:val="0"/>
                <w:sz w:val="24"/>
                <w:highlight w:val="none"/>
                <w:lang w:val="en-US" w:eastAsia="zh-CN" w:bidi="ar"/>
              </w:rPr>
              <w:t>总分</w:t>
            </w:r>
          </w:p>
        </w:tc>
        <w:tc>
          <w:tcPr>
            <w:tcW w:w="791" w:type="pct"/>
            <w:vAlign w:val="center"/>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100</w:t>
            </w:r>
          </w:p>
        </w:tc>
        <w:tc>
          <w:tcPr>
            <w:tcW w:w="919" w:type="pct"/>
            <w:vAlign w:val="center"/>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82.5</w:t>
            </w:r>
          </w:p>
        </w:tc>
        <w:tc>
          <w:tcPr>
            <w:tcW w:w="1132" w:type="pct"/>
            <w:vAlign w:val="center"/>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82.5</w:t>
            </w:r>
            <w:r>
              <w:rPr>
                <w:rFonts w:hint="eastAsia" w:ascii="Times New Roman" w:hAnsi="Times New Roman"/>
                <w:b/>
                <w:color w:val="000000"/>
                <w:kern w:val="0"/>
                <w:sz w:val="24"/>
                <w:highlight w:val="none"/>
                <w:lang w:bidi="ar"/>
              </w:rPr>
              <w:t>%</w:t>
            </w:r>
          </w:p>
        </w:tc>
      </w:tr>
    </w:tbl>
    <w:p>
      <w:pPr>
        <w:pStyle w:val="2"/>
        <w:spacing w:before="156" w:after="156"/>
        <w:ind w:firstLine="640"/>
        <w:rPr>
          <w:rFonts w:ascii="Times New Roman" w:hAnsi="Times New Roman"/>
          <w:highlight w:val="none"/>
        </w:rPr>
      </w:pPr>
      <w:bookmarkStart w:id="12" w:name="_Toc24335"/>
      <w:bookmarkStart w:id="13" w:name="_Toc15491"/>
      <w:r>
        <w:rPr>
          <w:rFonts w:hint="eastAsia" w:ascii="Times New Roman" w:hAnsi="Times New Roman"/>
          <w:highlight w:val="none"/>
        </w:rPr>
        <w:t>三、绩效指标分析</w:t>
      </w:r>
      <w:bookmarkEnd w:id="12"/>
      <w:bookmarkEnd w:id="13"/>
    </w:p>
    <w:p>
      <w:pPr>
        <w:pStyle w:val="3"/>
        <w:spacing w:before="156" w:after="156"/>
        <w:ind w:firstLine="643"/>
        <w:rPr>
          <w:rFonts w:ascii="Times New Roman" w:hAnsi="Times New Roman"/>
          <w:highlight w:val="none"/>
        </w:rPr>
      </w:pPr>
      <w:bookmarkStart w:id="14" w:name="_Toc29524"/>
      <w:bookmarkStart w:id="15" w:name="_Toc15376"/>
      <w:r>
        <w:rPr>
          <w:rFonts w:ascii="Times New Roman" w:hAnsi="Times New Roman"/>
          <w:highlight w:val="none"/>
        </w:rPr>
        <w:t>（一）项目决策</w:t>
      </w:r>
      <w:bookmarkEnd w:id="14"/>
      <w:bookmarkEnd w:id="15"/>
    </w:p>
    <w:p>
      <w:pPr>
        <w:adjustRightInd w:val="0"/>
        <w:ind w:firstLine="640"/>
        <w:rPr>
          <w:rFonts w:hint="eastAsia"/>
        </w:rPr>
      </w:pPr>
      <w:r>
        <w:rPr>
          <w:rFonts w:hint="eastAsia"/>
        </w:rPr>
        <w:t>本指标包含项目立项、绩效目标</w:t>
      </w:r>
      <w:r>
        <w:rPr>
          <w:rFonts w:hint="eastAsia"/>
          <w:lang w:eastAsia="zh-CN"/>
        </w:rPr>
        <w:t>、</w:t>
      </w:r>
      <w:r>
        <w:rPr>
          <w:rFonts w:hint="eastAsia"/>
          <w:lang w:val="en-US" w:eastAsia="zh-CN"/>
        </w:rPr>
        <w:t>资金投入情况3</w:t>
      </w:r>
      <w:r>
        <w:rPr>
          <w:rFonts w:hint="eastAsia"/>
        </w:rPr>
        <w:t>个二级指标。指标满分</w:t>
      </w:r>
      <w:r>
        <w:rPr>
          <w:rFonts w:hint="eastAsia"/>
          <w:lang w:val="en-US" w:eastAsia="zh-CN"/>
        </w:rPr>
        <w:t>22</w:t>
      </w:r>
      <w:r>
        <w:rPr>
          <w:rFonts w:hint="eastAsia"/>
        </w:rPr>
        <w:t>分，评价得分</w:t>
      </w:r>
      <w:r>
        <w:rPr>
          <w:rFonts w:hint="eastAsia"/>
          <w:lang w:val="en-US" w:eastAsia="zh-CN"/>
        </w:rPr>
        <w:t>18</w:t>
      </w:r>
      <w:r>
        <w:rPr>
          <w:rFonts w:hint="eastAsia"/>
        </w:rPr>
        <w:t>分，得分率为</w:t>
      </w:r>
      <w:r>
        <w:rPr>
          <w:rFonts w:hint="eastAsia"/>
          <w:lang w:val="en-US" w:eastAsia="zh-CN"/>
        </w:rPr>
        <w:t>81.82</w:t>
      </w:r>
      <w:r>
        <w:rPr>
          <w:rFonts w:hint="eastAsia"/>
        </w:rPr>
        <w:t>%。</w:t>
      </w:r>
    </w:p>
    <w:p>
      <w:pPr>
        <w:ind w:firstLine="643"/>
        <w:rPr>
          <w:rFonts w:hint="eastAsia" w:ascii="Times New Roman" w:hAnsi="Times New Roman"/>
          <w:highlight w:val="none"/>
        </w:rPr>
      </w:pPr>
      <w:r>
        <w:rPr>
          <w:rFonts w:hint="eastAsia" w:ascii="Times New Roman" w:hAnsi="Times New Roman"/>
          <w:b/>
          <w:bCs/>
          <w:highlight w:val="none"/>
        </w:rPr>
        <w:t>1.项目立项</w:t>
      </w:r>
    </w:p>
    <w:p>
      <w:pPr>
        <w:ind w:firstLine="640"/>
        <w:rPr>
          <w:color w:val="FF0000"/>
        </w:rPr>
      </w:pPr>
      <w:r>
        <w:t>本指标包含</w:t>
      </w:r>
      <w:r>
        <w:rPr>
          <w:rFonts w:hint="eastAsia"/>
        </w:rPr>
        <w:t>立项规范性</w:t>
      </w:r>
      <w:r>
        <w:rPr>
          <w:rFonts w:hint="eastAsia"/>
          <w:lang w:val="en-US" w:eastAsia="zh-CN"/>
        </w:rPr>
        <w:t>1</w:t>
      </w:r>
      <w:r>
        <w:t>个三级指标，指标满分</w:t>
      </w:r>
      <w:r>
        <w:rPr>
          <w:rFonts w:hint="eastAsia"/>
          <w:lang w:val="en-US" w:eastAsia="zh-CN"/>
        </w:rPr>
        <w:t>3</w:t>
      </w:r>
      <w:r>
        <w:t>分，评价得分</w:t>
      </w:r>
      <w:r>
        <w:rPr>
          <w:rFonts w:hint="eastAsia"/>
          <w:lang w:val="en-US" w:eastAsia="zh-CN"/>
        </w:rPr>
        <w:t>3</w:t>
      </w:r>
      <w:r>
        <w:t>分，得分率</w:t>
      </w:r>
      <w:r>
        <w:rPr>
          <w:rFonts w:hint="eastAsia"/>
          <w:lang w:val="en-US" w:eastAsia="zh-CN"/>
        </w:rPr>
        <w:t>100</w:t>
      </w:r>
      <w:r>
        <w:t>%。</w:t>
      </w:r>
    </w:p>
    <w:p>
      <w:pPr>
        <w:ind w:firstLine="640"/>
        <w:rPr>
          <w:rFonts w:ascii="Times New Roman" w:hAnsi="Times New Roman"/>
          <w:highlight w:val="none"/>
        </w:rPr>
      </w:pPr>
      <w:r>
        <w:rPr>
          <w:rFonts w:hint="eastAsia" w:ascii="Times New Roman" w:hAnsi="Times New Roman"/>
          <w:highlight w:val="none"/>
        </w:rPr>
        <w:t>1）立项</w:t>
      </w:r>
      <w:r>
        <w:rPr>
          <w:rFonts w:hint="eastAsia"/>
        </w:rPr>
        <w:t>规范性</w:t>
      </w:r>
    </w:p>
    <w:p>
      <w:pPr>
        <w:ind w:firstLine="640"/>
        <w:rPr>
          <w:rFonts w:ascii="Times New Roman" w:hAnsi="Times New Roman"/>
          <w:highlight w:val="none"/>
        </w:rPr>
      </w:pPr>
      <w:r>
        <w:rPr>
          <w:rFonts w:hint="eastAsia" w:ascii="Times New Roman" w:hAnsi="Times New Roman"/>
          <w:highlight w:val="none"/>
        </w:rPr>
        <w:t>该指标主要考察项目立项是否符合法律法规、相关政策、发展规划以及部门职责</w:t>
      </w:r>
      <w:r>
        <w:rPr>
          <w:rFonts w:hint="eastAsia"/>
          <w:highlight w:val="none"/>
          <w:lang w:eastAsia="zh-CN"/>
        </w:rPr>
        <w:t>，项目申请、设立过程是否符合相关要求</w:t>
      </w:r>
      <w:r>
        <w:rPr>
          <w:rFonts w:hint="eastAsia" w:ascii="Times New Roman" w:hAnsi="Times New Roman"/>
          <w:highlight w:val="none"/>
        </w:rPr>
        <w:t>。指标满分</w:t>
      </w:r>
      <w:r>
        <w:rPr>
          <w:rFonts w:hint="eastAsia"/>
          <w:highlight w:val="none"/>
          <w:lang w:val="en-US" w:eastAsia="zh-CN"/>
        </w:rPr>
        <w:t>3</w:t>
      </w:r>
      <w:r>
        <w:rPr>
          <w:rFonts w:hint="eastAsia" w:ascii="Times New Roman" w:hAnsi="Times New Roman"/>
          <w:highlight w:val="none"/>
        </w:rPr>
        <w:t>分，评价得分</w:t>
      </w:r>
      <w:r>
        <w:rPr>
          <w:rFonts w:hint="eastAsia"/>
          <w:highlight w:val="none"/>
          <w:lang w:val="en-US" w:eastAsia="zh-CN"/>
        </w:rPr>
        <w:t>2.5</w:t>
      </w:r>
      <w:r>
        <w:rPr>
          <w:rFonts w:hint="eastAsia" w:ascii="Times New Roman" w:hAnsi="Times New Roman"/>
          <w:highlight w:val="none"/>
        </w:rPr>
        <w:t>分，得分率</w:t>
      </w:r>
      <w:r>
        <w:rPr>
          <w:rFonts w:hint="eastAsia"/>
          <w:lang w:val="en-US" w:eastAsia="zh-CN"/>
        </w:rPr>
        <w:t>83.33</w:t>
      </w:r>
      <w:r>
        <w:rPr>
          <w:rFonts w:hint="eastAsia" w:ascii="Times New Roman" w:hAnsi="Times New Roman"/>
          <w:highlight w:val="none"/>
        </w:rPr>
        <w:t>%。</w:t>
      </w:r>
    </w:p>
    <w:p>
      <w:pPr>
        <w:widowControl/>
        <w:ind w:firstLine="0" w:firstLineChars="0"/>
        <w:jc w:val="left"/>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项目依据《关于印发潮安区新冠肺炎防控指挥办防控物资保障组物资管理办法的通知》和《关于防控物资应急储备的函》（安卫函〔2022〕1号）设立，经《区政府常务会议纪要》（安府常纪〔2022〕4号）同意，以满足疫情防控工作的需要；本项目立项与部门职责</w:t>
      </w:r>
      <w:r>
        <w:rPr>
          <w:rFonts w:hint="eastAsia" w:ascii="Times New Roman" w:cs="Times New Roman"/>
          <w:kern w:val="2"/>
          <w:sz w:val="32"/>
          <w:szCs w:val="24"/>
          <w:highlight w:val="none"/>
          <w:lang w:val="en-US" w:eastAsia="zh-CN" w:bidi="ar-SA"/>
        </w:rPr>
        <w:t>第十四条“</w:t>
      </w:r>
      <w:r>
        <w:rPr>
          <w:rFonts w:hint="eastAsia" w:ascii="Times New Roman" w:hAnsi="Times New Roman" w:eastAsia="仿宋_GB2312" w:cs="Times New Roman"/>
          <w:color w:val="000000"/>
          <w:kern w:val="2"/>
          <w:sz w:val="32"/>
          <w:szCs w:val="24"/>
          <w:highlight w:val="none"/>
          <w:lang w:val="en-US" w:eastAsia="zh-CN" w:bidi="ar-SA"/>
        </w:rPr>
        <w:t>贯彻落实粮食流通和物资储备有关政策措施，研究提出全区粮食流通和物资储备体制改革方案并组织实施</w:t>
      </w:r>
      <w:r>
        <w:rPr>
          <w:rFonts w:hint="eastAsia" w:ascii="Times New Roman" w:cs="Times New Roman"/>
          <w:kern w:val="2"/>
          <w:sz w:val="32"/>
          <w:szCs w:val="24"/>
          <w:highlight w:val="none"/>
          <w:lang w:val="en-US" w:eastAsia="zh-CN" w:bidi="ar-SA"/>
        </w:rPr>
        <w:t>”</w:t>
      </w:r>
      <w:r>
        <w:rPr>
          <w:rFonts w:hint="eastAsia" w:ascii="Times New Roman" w:hAnsi="Times New Roman" w:eastAsia="仿宋_GB2312" w:cs="Times New Roman"/>
          <w:kern w:val="2"/>
          <w:sz w:val="32"/>
          <w:szCs w:val="24"/>
          <w:highlight w:val="none"/>
          <w:lang w:val="en-US" w:eastAsia="zh-CN" w:bidi="ar-SA"/>
        </w:rPr>
        <w:t>相符，因此本项</w:t>
      </w:r>
      <w:r>
        <w:rPr>
          <w:rFonts w:hint="eastAsia" w:cs="Times New Roman"/>
          <w:kern w:val="2"/>
          <w:sz w:val="32"/>
          <w:szCs w:val="24"/>
          <w:highlight w:val="none"/>
          <w:lang w:val="en-US" w:eastAsia="zh-CN" w:bidi="ar-SA"/>
        </w:rPr>
        <w:t>得满</w:t>
      </w:r>
      <w:r>
        <w:rPr>
          <w:rFonts w:hint="eastAsia" w:ascii="Times New Roman" w:hAnsi="Times New Roman" w:eastAsia="仿宋_GB2312" w:cs="Times New Roman"/>
          <w:kern w:val="2"/>
          <w:sz w:val="32"/>
          <w:szCs w:val="24"/>
          <w:highlight w:val="none"/>
          <w:lang w:val="en-US" w:eastAsia="zh-CN" w:bidi="ar-SA"/>
        </w:rPr>
        <w:t>分。</w:t>
      </w:r>
    </w:p>
    <w:p>
      <w:pPr>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.绩效目标</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绩效目标合理性</w:t>
      </w:r>
      <w:r>
        <w:rPr>
          <w:rFonts w:hint="eastAsia" w:ascii="Times New Roman" w:hAnsi="Times New Roman"/>
          <w:highlight w:val="none"/>
          <w:lang w:eastAsia="zh-CN"/>
        </w:rPr>
        <w:t>、绩效指标明确性</w:t>
      </w:r>
      <w:r>
        <w:rPr>
          <w:rFonts w:hint="eastAsia" w:ascii="Times New Roman" w:hAnsi="Times New Roman" w:cs="Times New Roman"/>
          <w:highlight w:val="none"/>
          <w:lang w:val="en-US" w:eastAsia="zh-CN"/>
        </w:rPr>
        <w:t>2</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7</w:t>
      </w:r>
      <w:r>
        <w:rPr>
          <w:rFonts w:hint="eastAsia"/>
          <w:szCs w:val="32"/>
          <w:highlight w:val="none"/>
          <w:lang w:val="en-US" w:eastAsia="zh-CN"/>
        </w:rPr>
        <w:t>分，评价得分</w:t>
      </w:r>
      <w:r>
        <w:rPr>
          <w:rFonts w:hint="eastAsia"/>
          <w:highlight w:val="none"/>
          <w:lang w:val="en-US" w:eastAsia="zh-CN"/>
        </w:rPr>
        <w:t>3</w:t>
      </w:r>
      <w:r>
        <w:rPr>
          <w:rFonts w:hint="eastAsia" w:ascii="Times New Roman" w:hAnsi="Times New Roman"/>
          <w:highlight w:val="none"/>
        </w:rPr>
        <w:t>分，得分率</w:t>
      </w:r>
      <w:r>
        <w:rPr>
          <w:rFonts w:hint="eastAsia" w:ascii="Times New Roman" w:hAnsi="Times New Roman"/>
          <w:highlight w:val="none"/>
          <w:lang w:val="en-US" w:eastAsia="zh-CN"/>
        </w:rPr>
        <w:t>42.86%</w:t>
      </w:r>
      <w:r>
        <w:rPr>
          <w:rFonts w:hint="eastAsia" w:ascii="Times New Roman" w:hAnsi="Times New Roman"/>
          <w:highlight w:val="none"/>
        </w:rPr>
        <w:t>。</w:t>
      </w:r>
    </w:p>
    <w:p>
      <w:pPr>
        <w:ind w:firstLine="640"/>
        <w:rPr>
          <w:rFonts w:ascii="Times New Roman" w:hAnsi="Times New Roman"/>
          <w:highlight w:val="none"/>
        </w:rPr>
      </w:pPr>
      <w:r>
        <w:rPr>
          <w:rFonts w:hint="default" w:ascii="Times New Roman" w:hAnsi="Times New Roman" w:cs="Times New Roman"/>
          <w:highlight w:val="none"/>
        </w:rPr>
        <w:t>1</w:t>
      </w:r>
      <w:r>
        <w:rPr>
          <w:rFonts w:hint="eastAsia" w:ascii="Times New Roman" w:hAnsi="Times New Roman"/>
          <w:highlight w:val="none"/>
        </w:rPr>
        <w:t>）绩效目标合理性</w:t>
      </w:r>
    </w:p>
    <w:p>
      <w:pPr>
        <w:pStyle w:val="6"/>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该指标主要考察项目所设定的绩效目标是否依据充足，是否符合客观实际。指标满分</w:t>
      </w:r>
      <w:r>
        <w:rPr>
          <w:rFonts w:hint="eastAsia" w:ascii="Times New Roman" w:hAnsi="Times New Roman"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分，评价得分</w:t>
      </w:r>
      <w:r>
        <w:rPr>
          <w:rFonts w:hint="eastAsia" w:ascii="Times New Roman"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分，得分率</w:t>
      </w:r>
      <w:r>
        <w:rPr>
          <w:rFonts w:hint="eastAsia" w:ascii="Times New Roman" w:cs="Times New Roman"/>
          <w:kern w:val="2"/>
          <w:sz w:val="32"/>
          <w:szCs w:val="32"/>
          <w:highlight w:val="none"/>
          <w:lang w:val="en-US" w:eastAsia="zh-CN" w:bidi="ar-SA"/>
        </w:rPr>
        <w:t>33.33</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p>
    <w:p>
      <w:pPr>
        <w:ind w:firstLine="640"/>
        <w:rPr>
          <w:rFonts w:ascii="Times New Roman" w:hAnsi="Times New Roman"/>
          <w:highlight w:val="none"/>
        </w:rPr>
      </w:pPr>
      <w:r>
        <w:rPr>
          <w:rFonts w:hint="eastAsia" w:ascii="Times New Roman" w:hAnsi="Times New Roman"/>
          <w:highlight w:val="none"/>
        </w:rPr>
        <w:t>根据项目单位提供的《绩效目标申报表》，项目单位设定了绩效目标，项目的绩效目标为“做好我区公共卫生应急物资社会防疫政府储备以及防控物资应急储备工作”</w:t>
      </w:r>
      <w:r>
        <w:rPr>
          <w:rFonts w:hint="eastAsia"/>
          <w:highlight w:val="none"/>
          <w:lang w:eastAsia="zh-CN"/>
        </w:rPr>
        <w:t>，</w:t>
      </w:r>
      <w:r>
        <w:rPr>
          <w:rFonts w:hint="eastAsia"/>
          <w:highlight w:val="none"/>
          <w:lang w:val="en-US" w:eastAsia="zh-CN"/>
        </w:rPr>
        <w:t>该绩效目标仅体现项目大致工作方向，但未明确具体计划开展的工作内容，且未反映项目实施带来的预期效益</w:t>
      </w:r>
      <w:r>
        <w:rPr>
          <w:rFonts w:hint="eastAsia" w:ascii="Times New Roman" w:hAnsi="Times New Roman"/>
          <w:highlight w:val="none"/>
        </w:rPr>
        <w:t>，目标设置不够合理。因此本项扣2分。</w:t>
      </w:r>
    </w:p>
    <w:p>
      <w:pPr>
        <w:ind w:firstLine="640"/>
        <w:rPr>
          <w:rFonts w:ascii="Times New Roman" w:hAnsi="Times New Roman"/>
          <w:highlight w:val="none"/>
        </w:rPr>
      </w:pPr>
      <w:r>
        <w:rPr>
          <w:rFonts w:hint="eastAsia" w:ascii="Times New Roman" w:hAnsi="Times New Roman"/>
          <w:highlight w:val="none"/>
        </w:rPr>
        <w:t>2）</w:t>
      </w:r>
      <w:r>
        <w:rPr>
          <w:rFonts w:hint="eastAsia" w:ascii="Times New Roman" w:hAnsi="Times New Roman"/>
          <w:highlight w:val="none"/>
          <w:lang w:eastAsia="zh-CN"/>
        </w:rPr>
        <w:t>绩效指标明确性</w:t>
      </w:r>
    </w:p>
    <w:p>
      <w:pPr>
        <w:ind w:firstLine="640"/>
        <w:rPr>
          <w:rFonts w:ascii="Times New Roman" w:hAnsi="Times New Roman"/>
          <w:highlight w:val="none"/>
        </w:rPr>
      </w:pPr>
      <w:r>
        <w:rPr>
          <w:rFonts w:hint="eastAsia" w:ascii="Times New Roman" w:hAnsi="Times New Roman"/>
          <w:highlight w:val="none"/>
        </w:rPr>
        <w:t>该指标主要考察绩效目标设定的绩效指标是否清晰、细化、可衡量。指标满分</w:t>
      </w:r>
      <w:r>
        <w:rPr>
          <w:rFonts w:hint="eastAsia"/>
          <w:highlight w:val="none"/>
          <w:lang w:val="en-US" w:eastAsia="zh-CN"/>
        </w:rPr>
        <w:t>4</w:t>
      </w:r>
      <w:r>
        <w:rPr>
          <w:rFonts w:hint="eastAsia" w:ascii="Times New Roman" w:hAnsi="Times New Roman"/>
          <w:highlight w:val="none"/>
        </w:rPr>
        <w:t>分，评价得分</w:t>
      </w:r>
      <w:r>
        <w:rPr>
          <w:rFonts w:hint="eastAsia"/>
          <w:highlight w:val="none"/>
          <w:lang w:val="en-US" w:eastAsia="zh-CN"/>
        </w:rPr>
        <w:t>2</w:t>
      </w:r>
      <w:r>
        <w:rPr>
          <w:rFonts w:hint="eastAsia" w:ascii="Times New Roman" w:hAnsi="Times New Roman"/>
          <w:highlight w:val="none"/>
        </w:rPr>
        <w:t>分，得分率</w:t>
      </w:r>
      <w:r>
        <w:rPr>
          <w:rFonts w:hint="eastAsia"/>
          <w:highlight w:val="none"/>
          <w:lang w:val="en-US" w:eastAsia="zh-CN"/>
        </w:rPr>
        <w:t>50</w:t>
      </w:r>
      <w:r>
        <w:rPr>
          <w:rFonts w:hint="eastAsia" w:ascii="Times New Roman" w:hAnsi="Times New Roman"/>
          <w:highlight w:val="none"/>
        </w:rPr>
        <w:t>%。</w:t>
      </w:r>
    </w:p>
    <w:p>
      <w:pPr>
        <w:pStyle w:val="23"/>
        <w:jc w:val="both"/>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根据项目单位提供的《绩效目标申报表》，项目单位将绩效目标细化分解成了具体的绩效指标，并</w:t>
      </w:r>
      <w:r>
        <w:rPr>
          <w:rFonts w:hint="eastAsia" w:ascii="Times New Roman" w:cs="Times New Roman"/>
          <w:b w:val="0"/>
          <w:bCs w:val="0"/>
          <w:kern w:val="2"/>
          <w:sz w:val="32"/>
          <w:szCs w:val="24"/>
          <w:highlight w:val="none"/>
          <w:lang w:val="en-US" w:eastAsia="zh-CN" w:bidi="ar-SA"/>
        </w:rPr>
        <w:t>设置了对应的指标值。</w:t>
      </w:r>
      <w:r>
        <w:rPr>
          <w:rFonts w:hint="eastAsia" w:ascii="Times New Roman" w:hAnsi="Times New Roman" w:eastAsia="仿宋_GB2312" w:cs="Times New Roman"/>
          <w:b w:val="0"/>
          <w:bCs w:val="0"/>
          <w:kern w:val="2"/>
          <w:sz w:val="32"/>
          <w:szCs w:val="24"/>
          <w:highlight w:val="none"/>
          <w:lang w:val="en-US" w:eastAsia="zh-CN" w:bidi="ar-SA"/>
        </w:rPr>
        <w:t>但存在</w:t>
      </w:r>
      <w:r>
        <w:rPr>
          <w:rFonts w:hint="eastAsia" w:ascii="Times New Roman" w:cs="Times New Roman"/>
          <w:b w:val="0"/>
          <w:bCs w:val="0"/>
          <w:kern w:val="2"/>
          <w:sz w:val="32"/>
          <w:szCs w:val="24"/>
          <w:highlight w:val="none"/>
          <w:lang w:val="en-US" w:eastAsia="zh-CN" w:bidi="ar-SA"/>
        </w:rPr>
        <w:t>以下</w:t>
      </w:r>
      <w:r>
        <w:rPr>
          <w:rFonts w:hint="eastAsia" w:ascii="Times New Roman" w:hAnsi="Times New Roman" w:eastAsia="仿宋_GB2312" w:cs="Times New Roman"/>
          <w:b w:val="0"/>
          <w:bCs w:val="0"/>
          <w:kern w:val="2"/>
          <w:sz w:val="32"/>
          <w:szCs w:val="24"/>
          <w:highlight w:val="none"/>
          <w:lang w:val="en-US" w:eastAsia="zh-CN" w:bidi="ar-SA"/>
        </w:rPr>
        <w:t>问题：</w:t>
      </w:r>
      <w:r>
        <w:rPr>
          <w:rFonts w:hint="eastAsia" w:ascii="Times New Roman" w:hAnsi="Times New Roman" w:eastAsia="仿宋_GB2312" w:cs="Times New Roman"/>
          <w:b/>
          <w:bCs/>
          <w:kern w:val="2"/>
          <w:sz w:val="32"/>
          <w:szCs w:val="24"/>
          <w:highlight w:val="none"/>
          <w:lang w:val="en-US" w:eastAsia="zh-CN" w:bidi="ar-SA"/>
        </w:rPr>
        <w:t>一是</w:t>
      </w:r>
      <w:r>
        <w:rPr>
          <w:rFonts w:hint="eastAsia" w:ascii="Times New Roman" w:hAnsi="Times New Roman" w:eastAsia="仿宋_GB2312" w:cs="Times New Roman"/>
          <w:b w:val="0"/>
          <w:bCs w:val="0"/>
          <w:kern w:val="2"/>
          <w:sz w:val="32"/>
          <w:szCs w:val="24"/>
          <w:highlight w:val="none"/>
          <w:lang w:val="en-US" w:eastAsia="zh-CN" w:bidi="ar-SA"/>
        </w:rPr>
        <w:t>部分</w:t>
      </w:r>
      <w:r>
        <w:rPr>
          <w:rFonts w:hint="eastAsia" w:ascii="Times New Roman" w:cs="Times New Roman"/>
          <w:b w:val="0"/>
          <w:bCs w:val="0"/>
          <w:kern w:val="2"/>
          <w:sz w:val="32"/>
          <w:szCs w:val="24"/>
          <w:highlight w:val="none"/>
          <w:lang w:val="en-US" w:eastAsia="zh-CN" w:bidi="ar-SA"/>
        </w:rPr>
        <w:t>绩效</w:t>
      </w:r>
      <w:r>
        <w:rPr>
          <w:rFonts w:hint="eastAsia" w:ascii="Times New Roman" w:hAnsi="Times New Roman" w:eastAsia="仿宋_GB2312" w:cs="Times New Roman"/>
          <w:b w:val="0"/>
          <w:bCs w:val="0"/>
          <w:kern w:val="2"/>
          <w:sz w:val="32"/>
          <w:szCs w:val="24"/>
          <w:highlight w:val="none"/>
          <w:lang w:val="en-US" w:eastAsia="zh-CN" w:bidi="ar-SA"/>
        </w:rPr>
        <w:t>指标存在</w:t>
      </w:r>
      <w:r>
        <w:rPr>
          <w:rFonts w:hint="eastAsia" w:ascii="Times New Roman" w:cs="Times New Roman"/>
          <w:b w:val="0"/>
          <w:bCs w:val="0"/>
          <w:kern w:val="2"/>
          <w:sz w:val="32"/>
          <w:szCs w:val="24"/>
          <w:highlight w:val="none"/>
          <w:lang w:val="en-US" w:eastAsia="zh-CN" w:bidi="ar-SA"/>
        </w:rPr>
        <w:t>指标</w:t>
      </w:r>
      <w:r>
        <w:rPr>
          <w:rFonts w:hint="eastAsia" w:ascii="Times New Roman" w:hAnsi="Times New Roman" w:eastAsia="仿宋_GB2312" w:cs="Times New Roman"/>
          <w:b w:val="0"/>
          <w:bCs w:val="0"/>
          <w:kern w:val="2"/>
          <w:sz w:val="32"/>
          <w:szCs w:val="24"/>
          <w:highlight w:val="none"/>
          <w:lang w:val="en-US" w:eastAsia="zh-CN" w:bidi="ar-SA"/>
        </w:rPr>
        <w:t>分类错误问题，</w:t>
      </w:r>
      <w:r>
        <w:rPr>
          <w:rFonts w:hint="eastAsia" w:ascii="Times New Roman" w:cs="Times New Roman"/>
          <w:b w:val="0"/>
          <w:bCs w:val="0"/>
          <w:kern w:val="2"/>
          <w:sz w:val="32"/>
          <w:szCs w:val="24"/>
          <w:highlight w:val="none"/>
          <w:lang w:val="en-US" w:eastAsia="zh-CN" w:bidi="ar-SA"/>
        </w:rPr>
        <w:t>例如时效指标“</w:t>
      </w:r>
      <w:r>
        <w:rPr>
          <w:rFonts w:hint="eastAsia" w:ascii="Times New Roman"/>
          <w:b w:val="0"/>
          <w:bCs w:val="0"/>
          <w:color w:val="auto"/>
          <w:kern w:val="2"/>
          <w:sz w:val="32"/>
          <w:highlight w:val="none"/>
          <w:lang w:val="en-US" w:eastAsia="zh-CN" w:bidi="ar-SA"/>
        </w:rPr>
        <w:t>项目按计划完成率</w:t>
      </w:r>
      <w:r>
        <w:rPr>
          <w:rFonts w:hint="eastAsia" w:ascii="Times New Roman" w:cs="Times New Roman"/>
          <w:b w:val="0"/>
          <w:bCs w:val="0"/>
          <w:kern w:val="2"/>
          <w:sz w:val="32"/>
          <w:szCs w:val="24"/>
          <w:highlight w:val="none"/>
          <w:lang w:val="en-US" w:eastAsia="zh-CN" w:bidi="ar-SA"/>
        </w:rPr>
        <w:t>”，时效指标主要考核各项工作开展是否及时、是否在规定时间内完成</w:t>
      </w:r>
      <w:r>
        <w:rPr>
          <w:rFonts w:hint="eastAsia" w:ascii="Times New Roman" w:hAnsi="Times New Roman" w:eastAsia="仿宋_GB2312" w:cs="Times New Roman"/>
          <w:b w:val="0"/>
          <w:bCs w:val="0"/>
          <w:kern w:val="2"/>
          <w:sz w:val="32"/>
          <w:szCs w:val="24"/>
          <w:highlight w:val="none"/>
          <w:lang w:val="en-US" w:eastAsia="zh-CN" w:bidi="ar-SA"/>
        </w:rPr>
        <w:t>，</w:t>
      </w:r>
      <w:r>
        <w:rPr>
          <w:rFonts w:hint="eastAsia" w:ascii="Times New Roman" w:cs="Times New Roman"/>
          <w:b w:val="0"/>
          <w:bCs w:val="0"/>
          <w:kern w:val="2"/>
          <w:sz w:val="32"/>
          <w:szCs w:val="24"/>
          <w:highlight w:val="none"/>
          <w:lang w:val="en-US" w:eastAsia="zh-CN" w:bidi="ar-SA"/>
        </w:rPr>
        <w:t>但该指标所考核的内容为</w:t>
      </w:r>
      <w:r>
        <w:rPr>
          <w:rFonts w:hint="eastAsia" w:ascii="Times New Roman"/>
          <w:b w:val="0"/>
          <w:bCs w:val="0"/>
          <w:kern w:val="2"/>
          <w:sz w:val="32"/>
          <w:highlight w:val="none"/>
          <w:lang w:val="en-US" w:eastAsia="zh-CN" w:bidi="ar-SA"/>
        </w:rPr>
        <w:t>项目按计划完成情况，应属于数量指标</w:t>
      </w:r>
      <w:r>
        <w:rPr>
          <w:rFonts w:hint="eastAsia" w:ascii="Times New Roman" w:cs="Times New Roman"/>
          <w:b w:val="0"/>
          <w:bCs w:val="0"/>
          <w:kern w:val="2"/>
          <w:sz w:val="32"/>
          <w:szCs w:val="24"/>
          <w:highlight w:val="none"/>
          <w:lang w:val="en-US" w:eastAsia="zh-CN" w:bidi="ar-SA"/>
        </w:rPr>
        <w:t>；二是部分绩效指标存在</w:t>
      </w:r>
      <w:r>
        <w:rPr>
          <w:rFonts w:hint="eastAsia" w:ascii="Times New Roman"/>
          <w:b w:val="0"/>
          <w:bCs w:val="0"/>
          <w:color w:val="auto"/>
          <w:kern w:val="2"/>
          <w:sz w:val="32"/>
          <w:highlight w:val="none"/>
          <w:lang w:val="en-US" w:eastAsia="zh-CN" w:bidi="ar-SA"/>
        </w:rPr>
        <w:t>指标名称与指标值不匹配问题，</w:t>
      </w:r>
      <w:r>
        <w:rPr>
          <w:rFonts w:hint="eastAsia" w:ascii="Times New Roman" w:hAnsi="Times New Roman" w:eastAsia="仿宋_GB2312" w:cs="Times New Roman"/>
          <w:b w:val="0"/>
          <w:bCs w:val="0"/>
          <w:kern w:val="2"/>
          <w:sz w:val="32"/>
          <w:szCs w:val="24"/>
          <w:highlight w:val="none"/>
          <w:lang w:val="en-US" w:eastAsia="zh-CN" w:bidi="ar-SA"/>
        </w:rPr>
        <w:t>例如时效指标“维持工作正常运转”</w:t>
      </w:r>
      <w:r>
        <w:rPr>
          <w:rFonts w:hint="eastAsia" w:ascii="Times New Roman" w:cs="Times New Roman"/>
          <w:b w:val="0"/>
          <w:bCs w:val="0"/>
          <w:kern w:val="2"/>
          <w:sz w:val="32"/>
          <w:szCs w:val="24"/>
          <w:highlight w:val="none"/>
          <w:lang w:val="en-US" w:eastAsia="zh-CN" w:bidi="ar-SA"/>
        </w:rPr>
        <w:t>，指标值“</w:t>
      </w:r>
      <w:r>
        <w:rPr>
          <w:rFonts w:hint="eastAsia" w:ascii="Times New Roman"/>
          <w:b w:val="0"/>
          <w:bCs w:val="0"/>
          <w:color w:val="auto"/>
          <w:kern w:val="2"/>
          <w:sz w:val="32"/>
          <w:highlight w:val="none"/>
          <w:lang w:val="en-US" w:eastAsia="zh-CN" w:bidi="ar-SA"/>
        </w:rPr>
        <w:t>做好我区公共卫生应急物资社会防疫政府储备以及防控物资应急储备工作</w:t>
      </w:r>
      <w:r>
        <w:rPr>
          <w:rFonts w:hint="eastAsia" w:ascii="Times New Roman" w:cs="Times New Roman"/>
          <w:b w:val="0"/>
          <w:bCs w:val="0"/>
          <w:kern w:val="2"/>
          <w:sz w:val="32"/>
          <w:szCs w:val="24"/>
          <w:highlight w:val="none"/>
          <w:lang w:val="en-US" w:eastAsia="zh-CN" w:bidi="ar-SA"/>
        </w:rPr>
        <w:t>”，</w:t>
      </w:r>
      <w:r>
        <w:rPr>
          <w:rFonts w:hint="eastAsia" w:ascii="Times New Roman"/>
          <w:b w:val="0"/>
          <w:bCs w:val="0"/>
          <w:kern w:val="2"/>
          <w:sz w:val="32"/>
          <w:highlight w:val="none"/>
          <w:lang w:val="en-US" w:eastAsia="zh-CN" w:bidi="ar-SA"/>
        </w:rPr>
        <w:t>指标名称与指标值不够匹配</w:t>
      </w:r>
      <w:r>
        <w:rPr>
          <w:rFonts w:hint="eastAsia" w:ascii="Times New Roman" w:hAnsi="Times New Roman" w:cs="Times New Roman"/>
          <w:b w:val="0"/>
          <w:bCs w:val="0"/>
          <w:sz w:val="32"/>
          <w:highlight w:val="none"/>
          <w:lang w:val="en-US" w:eastAsia="zh-CN"/>
        </w:rPr>
        <w:t>，难以考核指标完成情况</w:t>
      </w:r>
      <w:r>
        <w:rPr>
          <w:rFonts w:hint="eastAsia" w:ascii="Times New Roman" w:hAnsi="Times New Roman" w:eastAsia="仿宋_GB2312" w:cs="Times New Roman"/>
          <w:b w:val="0"/>
          <w:bCs w:val="0"/>
          <w:kern w:val="2"/>
          <w:sz w:val="32"/>
          <w:szCs w:val="24"/>
          <w:highlight w:val="none"/>
          <w:lang w:val="en-US" w:eastAsia="zh-CN" w:bidi="ar-SA"/>
        </w:rPr>
        <w:t>；</w:t>
      </w:r>
      <w:r>
        <w:rPr>
          <w:rFonts w:hint="eastAsia" w:ascii="Times New Roman" w:cs="Times New Roman"/>
          <w:b w:val="0"/>
          <w:bCs w:val="0"/>
          <w:kern w:val="2"/>
          <w:sz w:val="32"/>
          <w:szCs w:val="24"/>
          <w:highlight w:val="none"/>
          <w:lang w:val="en-US" w:eastAsia="zh-CN" w:bidi="ar-SA"/>
        </w:rPr>
        <w:t>三</w:t>
      </w:r>
      <w:r>
        <w:rPr>
          <w:rFonts w:hint="eastAsia" w:ascii="Times New Roman" w:hAnsi="Times New Roman" w:eastAsia="仿宋_GB2312" w:cs="Times New Roman"/>
          <w:b w:val="0"/>
          <w:bCs w:val="0"/>
          <w:kern w:val="2"/>
          <w:sz w:val="32"/>
          <w:szCs w:val="24"/>
          <w:highlight w:val="none"/>
          <w:lang w:val="en-US" w:eastAsia="zh-CN" w:bidi="ar-SA"/>
        </w:rPr>
        <w:t>是指标不够全面，</w:t>
      </w:r>
      <w:r>
        <w:rPr>
          <w:rFonts w:hint="eastAsia" w:ascii="Times New Roman" w:cs="Times New Roman"/>
          <w:b w:val="0"/>
          <w:bCs w:val="0"/>
          <w:kern w:val="2"/>
          <w:sz w:val="32"/>
          <w:szCs w:val="24"/>
          <w:highlight w:val="none"/>
          <w:lang w:val="en-US" w:eastAsia="zh-CN" w:bidi="ar-SA"/>
        </w:rPr>
        <w:t>单位</w:t>
      </w:r>
      <w:r>
        <w:rPr>
          <w:rFonts w:hint="eastAsia" w:ascii="Times New Roman" w:hAnsi="Times New Roman" w:eastAsia="仿宋_GB2312" w:cs="Times New Roman"/>
          <w:b w:val="0"/>
          <w:bCs w:val="0"/>
          <w:kern w:val="2"/>
          <w:sz w:val="32"/>
          <w:szCs w:val="24"/>
          <w:highlight w:val="none"/>
          <w:lang w:val="en-US" w:eastAsia="zh-CN" w:bidi="ar-SA"/>
        </w:rPr>
        <w:t>未</w:t>
      </w:r>
      <w:r>
        <w:rPr>
          <w:rFonts w:hint="eastAsia" w:ascii="Times New Roman" w:cs="Times New Roman"/>
          <w:b w:val="0"/>
          <w:bCs w:val="0"/>
          <w:kern w:val="2"/>
          <w:sz w:val="32"/>
          <w:szCs w:val="24"/>
          <w:highlight w:val="none"/>
          <w:lang w:val="en-US" w:eastAsia="zh-CN" w:bidi="ar-SA"/>
        </w:rPr>
        <w:t>设置数量指标，较难</w:t>
      </w:r>
      <w:r>
        <w:rPr>
          <w:rFonts w:hint="eastAsia" w:ascii="Times New Roman" w:hAnsi="Times New Roman" w:eastAsia="仿宋_GB2312" w:cs="Times New Roman"/>
          <w:b w:val="0"/>
          <w:bCs w:val="0"/>
          <w:kern w:val="2"/>
          <w:sz w:val="32"/>
          <w:szCs w:val="24"/>
          <w:highlight w:val="none"/>
          <w:lang w:val="en-US" w:eastAsia="zh-CN" w:bidi="ar-SA"/>
        </w:rPr>
        <w:t>体现项目产出内容</w:t>
      </w:r>
      <w:r>
        <w:rPr>
          <w:rFonts w:hint="eastAsia" w:ascii="Times New Roman"/>
          <w:b w:val="0"/>
          <w:bCs w:val="0"/>
          <w:sz w:val="32"/>
          <w:highlight w:val="none"/>
          <w:lang w:eastAsia="zh-CN"/>
        </w:rPr>
        <w:t>；</w:t>
      </w:r>
      <w:r>
        <w:rPr>
          <w:rFonts w:hint="eastAsia" w:ascii="Times New Roman"/>
          <w:b w:val="0"/>
          <w:bCs w:val="0"/>
          <w:sz w:val="32"/>
          <w:highlight w:val="none"/>
          <w:lang w:val="en-US" w:eastAsia="zh-CN"/>
        </w:rPr>
        <w:t>四是指标名称不规范，如社会效益指标“</w:t>
      </w:r>
      <w:r>
        <w:rPr>
          <w:rFonts w:hint="eastAsia" w:ascii="Times New Roman"/>
          <w:b w:val="0"/>
          <w:bCs w:val="0"/>
          <w:color w:val="auto"/>
          <w:kern w:val="2"/>
          <w:sz w:val="32"/>
          <w:highlight w:val="none"/>
          <w:lang w:val="en-US" w:eastAsia="zh-CN" w:bidi="ar-SA"/>
        </w:rPr>
        <w:t>提高×××（具体领域）服务能力</w:t>
      </w:r>
      <w:r>
        <w:rPr>
          <w:rFonts w:hint="eastAsia" w:ascii="Times New Roman"/>
          <w:b w:val="0"/>
          <w:bCs w:val="0"/>
          <w:sz w:val="32"/>
          <w:highlight w:val="none"/>
          <w:lang w:val="en-US" w:eastAsia="zh-CN"/>
        </w:rPr>
        <w:t>”，指标名称未明确具体考核内容</w:t>
      </w:r>
      <w:r>
        <w:rPr>
          <w:rFonts w:hint="eastAsia" w:ascii="Times New Roman" w:hAnsi="Times New Roman" w:eastAsia="仿宋_GB2312" w:cs="Times New Roman"/>
          <w:b w:val="0"/>
          <w:bCs w:val="0"/>
          <w:kern w:val="2"/>
          <w:sz w:val="32"/>
          <w:szCs w:val="24"/>
          <w:highlight w:val="none"/>
          <w:lang w:val="en-US" w:eastAsia="zh-CN" w:bidi="ar-SA"/>
        </w:rPr>
        <w:t>。因此本项扣2分。</w:t>
      </w:r>
    </w:p>
    <w:p>
      <w:pPr>
        <w:ind w:firstLine="643"/>
        <w:rPr>
          <w:rFonts w:ascii="Times New Roman" w:hAnsi="Times New Roman"/>
          <w:b/>
          <w:bCs/>
          <w:highlight w:val="none"/>
        </w:rPr>
      </w:pPr>
      <w:r>
        <w:rPr>
          <w:rFonts w:hint="default" w:ascii="Times New Roman" w:hAnsi="Times New Roman" w:cs="Times New Roman"/>
          <w:b/>
          <w:bCs/>
          <w:highlight w:val="none"/>
        </w:rPr>
        <w:t>3</w:t>
      </w:r>
      <w:r>
        <w:rPr>
          <w:rFonts w:hint="eastAsia" w:ascii="Times New Roman" w:hAnsi="Times New Roman"/>
          <w:b/>
          <w:bCs/>
          <w:highlight w:val="none"/>
        </w:rPr>
        <w:t>.资金投入</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预算编制科学性</w:t>
      </w:r>
      <w:r>
        <w:rPr>
          <w:rFonts w:hint="eastAsia"/>
          <w:highlight w:val="none"/>
          <w:lang w:eastAsia="zh-CN"/>
        </w:rPr>
        <w:t>、资金分配合理性</w:t>
      </w:r>
      <w:r>
        <w:rPr>
          <w:rFonts w:hint="eastAsia" w:cs="Times New Roman"/>
          <w:highlight w:val="none"/>
          <w:lang w:val="en-US" w:eastAsia="zh-CN"/>
        </w:rPr>
        <w:t>2</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12</w:t>
      </w:r>
      <w:r>
        <w:rPr>
          <w:rFonts w:hint="eastAsia"/>
          <w:szCs w:val="32"/>
          <w:highlight w:val="none"/>
          <w:lang w:val="en-US" w:eastAsia="zh-CN"/>
        </w:rPr>
        <w:t>分，评价得分</w:t>
      </w:r>
      <w:r>
        <w:rPr>
          <w:rFonts w:hint="eastAsia"/>
          <w:highlight w:val="none"/>
          <w:lang w:val="en-US" w:eastAsia="zh-CN"/>
        </w:rPr>
        <w:t>12</w:t>
      </w:r>
      <w:r>
        <w:rPr>
          <w:rFonts w:hint="eastAsia"/>
          <w:szCs w:val="32"/>
          <w:highlight w:val="none"/>
          <w:lang w:val="en-US" w:eastAsia="zh-CN"/>
        </w:rPr>
        <w:t>分，得分率为</w:t>
      </w:r>
      <w:r>
        <w:rPr>
          <w:rFonts w:hint="eastAsia"/>
          <w:highlight w:val="none"/>
          <w:lang w:val="en-US" w:eastAsia="zh-CN"/>
        </w:rPr>
        <w:t>100</w:t>
      </w:r>
      <w:r>
        <w:rPr>
          <w:rFonts w:hint="eastAsia"/>
          <w:szCs w:val="32"/>
          <w:highlight w:val="none"/>
          <w:lang w:val="en-US" w:eastAsia="zh-CN"/>
        </w:rPr>
        <w:t>%</w:t>
      </w:r>
      <w:r>
        <w:rPr>
          <w:rFonts w:hint="eastAsia" w:ascii="Times New Roman" w:hAnsi="Times New Roman"/>
          <w:highlight w:val="none"/>
        </w:rPr>
        <w:t>。</w:t>
      </w:r>
    </w:p>
    <w:p>
      <w:pPr>
        <w:ind w:firstLine="640"/>
        <w:rPr>
          <w:rFonts w:ascii="Times New Roman" w:hAnsi="Times New Roman"/>
          <w:highlight w:val="none"/>
        </w:rPr>
      </w:pPr>
      <w:r>
        <w:rPr>
          <w:rFonts w:hint="default" w:ascii="Times New Roman" w:hAnsi="Times New Roman" w:cs="Times New Roman"/>
          <w:highlight w:val="none"/>
        </w:rPr>
        <w:t>1</w:t>
      </w:r>
      <w:r>
        <w:rPr>
          <w:rFonts w:hint="eastAsia" w:ascii="Times New Roman" w:hAnsi="Times New Roman"/>
          <w:highlight w:val="none"/>
        </w:rPr>
        <w:t>）预算编制科学性</w:t>
      </w:r>
    </w:p>
    <w:p>
      <w:pPr>
        <w:rPr>
          <w:rFonts w:hint="eastAsia" w:ascii="Times New Roman" w:hAnsi="Times New Roman"/>
          <w:highlight w:val="none"/>
        </w:rPr>
      </w:pPr>
      <w:r>
        <w:rPr>
          <w:rFonts w:hint="eastAsia" w:ascii="Times New Roman" w:hAnsi="Times New Roman"/>
          <w:highlight w:val="none"/>
        </w:rPr>
        <w:t>该指标主要考察项目预算编制是否经过科学论证、有明确标准，资金额度与年度目标是否相适应，反映项目预算编制的科学性、合理性情况。指标满分</w:t>
      </w:r>
      <w:r>
        <w:rPr>
          <w:rFonts w:hint="eastAsia" w:cs="Times New Roman"/>
          <w:highlight w:val="none"/>
          <w:lang w:val="en-US" w:eastAsia="zh-CN"/>
        </w:rPr>
        <w:t>6</w:t>
      </w:r>
      <w:r>
        <w:rPr>
          <w:rFonts w:hint="eastAsia" w:ascii="Times New Roman" w:hAnsi="Times New Roman"/>
          <w:highlight w:val="none"/>
        </w:rPr>
        <w:t>分，评价得分</w:t>
      </w:r>
      <w:r>
        <w:rPr>
          <w:rFonts w:hint="eastAsia"/>
          <w:highlight w:val="none"/>
          <w:lang w:val="en-US" w:eastAsia="zh-CN"/>
        </w:rPr>
        <w:t>6</w:t>
      </w:r>
      <w:r>
        <w:rPr>
          <w:rFonts w:hint="eastAsia"/>
          <w:szCs w:val="32"/>
          <w:highlight w:val="none"/>
          <w:lang w:val="en-US" w:eastAsia="zh-CN"/>
        </w:rPr>
        <w:t>分，得分率为</w:t>
      </w:r>
      <w:r>
        <w:rPr>
          <w:rFonts w:hint="eastAsia"/>
          <w:highlight w:val="none"/>
          <w:lang w:val="en-US" w:eastAsia="zh-CN"/>
        </w:rPr>
        <w:t>100</w:t>
      </w:r>
      <w:r>
        <w:rPr>
          <w:rFonts w:hint="eastAsia"/>
          <w:szCs w:val="32"/>
          <w:highlight w:val="none"/>
          <w:lang w:val="en-US" w:eastAsia="zh-CN"/>
        </w:rPr>
        <w:t>%</w:t>
      </w:r>
      <w:r>
        <w:rPr>
          <w:rFonts w:hint="eastAsia" w:ascii="Times New Roman" w:hAnsi="Times New Roman"/>
          <w:highlight w:val="none"/>
        </w:rPr>
        <w:t>。</w:t>
      </w:r>
    </w:p>
    <w:p>
      <w:pPr>
        <w:pStyle w:val="13"/>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highlight w:val="none"/>
        </w:rPr>
      </w:pPr>
      <w:r>
        <w:rPr>
          <w:rFonts w:hint="eastAsia"/>
          <w:highlight w:val="none"/>
          <w:lang w:val="en-US" w:eastAsia="zh-CN"/>
        </w:rPr>
        <w:t>项目单位根据潮安区实际情况和区卫健局《关于防控物资应急储备的函》（安卫函</w:t>
      </w:r>
      <w:r>
        <w:rPr>
          <w:rFonts w:hint="eastAsia" w:ascii="Times New Roman" w:cs="Times New Roman"/>
          <w:b w:val="0"/>
          <w:bCs w:val="0"/>
          <w:kern w:val="2"/>
          <w:sz w:val="32"/>
          <w:szCs w:val="24"/>
          <w:highlight w:val="none"/>
          <w:lang w:val="zh-CN" w:eastAsia="zh-CN" w:bidi="ar"/>
        </w:rPr>
        <w:t>〔202</w:t>
      </w:r>
      <w:r>
        <w:rPr>
          <w:rFonts w:hint="eastAsia" w:ascii="Times New Roman" w:cs="Times New Roman"/>
          <w:b w:val="0"/>
          <w:bCs w:val="0"/>
          <w:kern w:val="2"/>
          <w:sz w:val="32"/>
          <w:szCs w:val="24"/>
          <w:highlight w:val="none"/>
          <w:lang w:val="en-US" w:eastAsia="zh-CN" w:bidi="ar"/>
        </w:rPr>
        <w:t>2</w:t>
      </w:r>
      <w:r>
        <w:rPr>
          <w:rFonts w:hint="eastAsia" w:ascii="Times New Roman" w:cs="Times New Roman"/>
          <w:b w:val="0"/>
          <w:bCs w:val="0"/>
          <w:kern w:val="2"/>
          <w:sz w:val="32"/>
          <w:szCs w:val="24"/>
          <w:highlight w:val="none"/>
          <w:lang w:val="zh-CN" w:eastAsia="zh-CN" w:bidi="ar"/>
        </w:rPr>
        <w:t>〕</w:t>
      </w:r>
      <w:r>
        <w:rPr>
          <w:rFonts w:hint="eastAsia"/>
          <w:highlight w:val="none"/>
          <w:lang w:val="en-US" w:eastAsia="zh-CN"/>
        </w:rPr>
        <w:t>1号），</w:t>
      </w:r>
      <w:r>
        <w:rPr>
          <w:rFonts w:hint="eastAsia" w:ascii="Times New Roman" w:cs="Times New Roman"/>
          <w:b w:val="0"/>
          <w:bCs w:val="0"/>
          <w:kern w:val="2"/>
          <w:sz w:val="32"/>
          <w:szCs w:val="24"/>
          <w:highlight w:val="none"/>
          <w:lang w:val="zh-CN" w:eastAsia="zh-CN" w:bidi="ar"/>
        </w:rPr>
        <w:t>按潮安区公共卫生应急物资社会防疫政府储备指导目录要求储备量的30%，购进区级公共卫生应急物资，</w:t>
      </w:r>
      <w:r>
        <w:rPr>
          <w:rFonts w:hint="eastAsia" w:ascii="Times New Roman" w:cs="Times New Roman"/>
          <w:b w:val="0"/>
          <w:bCs w:val="0"/>
          <w:kern w:val="2"/>
          <w:sz w:val="32"/>
          <w:szCs w:val="24"/>
          <w:highlight w:val="none"/>
          <w:lang w:val="en-US" w:eastAsia="zh-CN" w:bidi="ar"/>
        </w:rPr>
        <w:t>项目预算编制较科学，因此该项得满分</w:t>
      </w:r>
      <w:r>
        <w:rPr>
          <w:rFonts w:hint="eastAsia" w:ascii="Times New Roman" w:hAnsi="Times New Roman"/>
          <w:highlight w:val="none"/>
        </w:rPr>
        <w:t>。</w:t>
      </w:r>
    </w:p>
    <w:p>
      <w:pPr>
        <w:ind w:firstLine="640"/>
        <w:rPr>
          <w:rFonts w:ascii="Times New Roman" w:hAnsi="Times New Roman"/>
          <w:highlight w:val="none"/>
        </w:rPr>
      </w:pPr>
      <w:r>
        <w:rPr>
          <w:rFonts w:hint="eastAsia" w:cs="Times New Roman"/>
          <w:highlight w:val="none"/>
          <w:lang w:val="en-US" w:eastAsia="zh-CN"/>
        </w:rPr>
        <w:t>2</w:t>
      </w:r>
      <w:r>
        <w:rPr>
          <w:rFonts w:hint="eastAsia" w:ascii="Times New Roman" w:hAnsi="Times New Roman"/>
          <w:highlight w:val="none"/>
        </w:rPr>
        <w:t>）</w:t>
      </w:r>
      <w:r>
        <w:rPr>
          <w:rFonts w:hint="eastAsia"/>
          <w:highlight w:val="none"/>
          <w:lang w:eastAsia="zh-CN"/>
        </w:rPr>
        <w:t>资金分配合理性</w:t>
      </w:r>
    </w:p>
    <w:p>
      <w:pPr>
        <w:rPr>
          <w:rFonts w:hint="eastAsia"/>
        </w:rPr>
      </w:pPr>
      <w:r>
        <w:rPr>
          <w:rFonts w:hint="eastAsia" w:ascii="Times New Roman" w:hAnsi="Times New Roman"/>
          <w:highlight w:val="none"/>
        </w:rPr>
        <w:t>该指标主要考察项目预算资金分配是否有测算依据，与补助单位或地方实际是否相适应，反映项目预算资金分配的科学性、合理性情况。指标满分</w:t>
      </w:r>
      <w:r>
        <w:rPr>
          <w:rFonts w:hint="eastAsia" w:cs="Times New Roman"/>
          <w:highlight w:val="none"/>
          <w:lang w:val="en-US" w:eastAsia="zh-CN"/>
        </w:rPr>
        <w:t>6</w:t>
      </w:r>
      <w:r>
        <w:rPr>
          <w:rFonts w:hint="eastAsia" w:ascii="Times New Roman" w:hAnsi="Times New Roman"/>
          <w:highlight w:val="none"/>
        </w:rPr>
        <w:t>分，评价得分</w:t>
      </w:r>
      <w:r>
        <w:rPr>
          <w:rFonts w:hint="eastAsia"/>
          <w:highlight w:val="none"/>
          <w:lang w:val="en-US" w:eastAsia="zh-CN"/>
        </w:rPr>
        <w:t>6</w:t>
      </w:r>
      <w:r>
        <w:rPr>
          <w:rFonts w:hint="eastAsia"/>
          <w:szCs w:val="32"/>
          <w:highlight w:val="none"/>
          <w:lang w:val="en-US" w:eastAsia="zh-CN"/>
        </w:rPr>
        <w:t>分，得分率为</w:t>
      </w:r>
      <w:r>
        <w:rPr>
          <w:rFonts w:hint="eastAsia"/>
          <w:highlight w:val="none"/>
          <w:lang w:val="en-US" w:eastAsia="zh-CN"/>
        </w:rPr>
        <w:t>100</w:t>
      </w:r>
      <w:r>
        <w:rPr>
          <w:rFonts w:hint="eastAsia"/>
          <w:szCs w:val="32"/>
          <w:highlight w:val="none"/>
          <w:lang w:val="en-US" w:eastAsia="zh-CN"/>
        </w:rPr>
        <w:t>%</w:t>
      </w:r>
      <w:r>
        <w:rPr>
          <w:rFonts w:hint="eastAsia" w:ascii="Times New Roman" w:hAnsi="Times New Roman"/>
          <w:highlight w:val="none"/>
        </w:rPr>
        <w:t>。</w:t>
      </w:r>
    </w:p>
    <w:p>
      <w:pPr>
        <w:pStyle w:val="23"/>
        <w:jc w:val="both"/>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项目预算资金1355.85万元，根据</w:t>
      </w:r>
      <w:r>
        <w:rPr>
          <w:rFonts w:hint="eastAsia" w:ascii="Times New Roman" w:cs="Times New Roman"/>
          <w:b w:val="0"/>
          <w:bCs w:val="0"/>
          <w:kern w:val="2"/>
          <w:sz w:val="32"/>
          <w:szCs w:val="24"/>
          <w:highlight w:val="none"/>
          <w:lang w:val="en-US" w:eastAsia="zh-CN" w:bidi="ar-SA"/>
        </w:rPr>
        <w:t>采购</w:t>
      </w:r>
      <w:r>
        <w:rPr>
          <w:rFonts w:hint="eastAsia" w:ascii="Times New Roman" w:hAnsi="Times New Roman" w:eastAsia="仿宋_GB2312" w:cs="Times New Roman"/>
          <w:b w:val="0"/>
          <w:bCs w:val="0"/>
          <w:kern w:val="2"/>
          <w:sz w:val="32"/>
          <w:szCs w:val="24"/>
          <w:highlight w:val="none"/>
          <w:lang w:val="en-US" w:eastAsia="zh-CN" w:bidi="ar-SA"/>
        </w:rPr>
        <w:t>项目需求书，项目</w:t>
      </w:r>
      <w:r>
        <w:rPr>
          <w:rFonts w:hint="eastAsia" w:ascii="Times New Roman" w:cs="Times New Roman"/>
          <w:b w:val="0"/>
          <w:bCs w:val="0"/>
          <w:kern w:val="2"/>
          <w:sz w:val="32"/>
          <w:szCs w:val="24"/>
          <w:highlight w:val="none"/>
          <w:lang w:val="en-US" w:eastAsia="zh-CN" w:bidi="ar-SA"/>
        </w:rPr>
        <w:t>单位根据每批次采购物资需求及物品单价合理安排预算资金，</w:t>
      </w:r>
      <w:r>
        <w:rPr>
          <w:rFonts w:hint="eastAsia" w:ascii="Times New Roman" w:hAnsi="Times New Roman" w:eastAsia="仿宋_GB2312" w:cs="Times New Roman"/>
          <w:b w:val="0"/>
          <w:bCs w:val="0"/>
          <w:kern w:val="2"/>
          <w:sz w:val="32"/>
          <w:szCs w:val="24"/>
          <w:highlight w:val="none"/>
          <w:lang w:val="en-US" w:eastAsia="zh-CN" w:bidi="ar-SA"/>
        </w:rPr>
        <w:t>预算资金额度分配和项目单位实际情况相匹配。因此本项得6分。</w:t>
      </w:r>
    </w:p>
    <w:p>
      <w:pPr>
        <w:pStyle w:val="3"/>
        <w:spacing w:before="156" w:after="156"/>
        <w:ind w:firstLine="643"/>
        <w:rPr>
          <w:rFonts w:hint="eastAsia" w:ascii="Times New Roman" w:hAnsi="Times New Roman" w:eastAsia="楷体_GB2312"/>
          <w:highlight w:val="none"/>
          <w:lang w:eastAsia="zh-CN"/>
        </w:rPr>
      </w:pPr>
      <w:bookmarkStart w:id="16" w:name="_Toc8802"/>
      <w:r>
        <w:rPr>
          <w:rFonts w:ascii="Times New Roman" w:hAnsi="Times New Roman"/>
          <w:highlight w:val="none"/>
        </w:rPr>
        <w:t>（</w:t>
      </w:r>
      <w:r>
        <w:rPr>
          <w:rFonts w:hint="eastAsia" w:ascii="Times New Roman" w:hAnsi="Times New Roman"/>
          <w:highlight w:val="none"/>
          <w:lang w:val="en-US" w:eastAsia="zh-CN"/>
        </w:rPr>
        <w:t>二</w:t>
      </w:r>
      <w:r>
        <w:rPr>
          <w:rFonts w:ascii="Times New Roman" w:hAnsi="Times New Roman"/>
          <w:highlight w:val="none"/>
        </w:rPr>
        <w:t>）项目</w:t>
      </w:r>
      <w:r>
        <w:rPr>
          <w:rFonts w:hint="eastAsia" w:ascii="Times New Roman" w:hAnsi="Times New Roman"/>
          <w:highlight w:val="none"/>
          <w:lang w:val="en-US" w:eastAsia="zh-CN"/>
        </w:rPr>
        <w:t>过程</w:t>
      </w:r>
      <w:bookmarkEnd w:id="16"/>
    </w:p>
    <w:p>
      <w:pPr>
        <w:adjustRightInd w:val="0"/>
        <w:ind w:firstLine="640"/>
        <w:rPr>
          <w:rFonts w:hint="eastAsia"/>
        </w:rPr>
      </w:pPr>
      <w:r>
        <w:rPr>
          <w:rFonts w:hint="eastAsia"/>
        </w:rPr>
        <w:t>本指标包含</w:t>
      </w:r>
      <w:r>
        <w:rPr>
          <w:rFonts w:hint="eastAsia"/>
          <w:lang w:val="en-US" w:eastAsia="zh-CN"/>
        </w:rPr>
        <w:t>资金管理、组织实施2</w:t>
      </w:r>
      <w:r>
        <w:rPr>
          <w:rFonts w:hint="eastAsia"/>
        </w:rPr>
        <w:t>个二级指标。指标满分</w:t>
      </w:r>
      <w:r>
        <w:rPr>
          <w:rFonts w:hint="eastAsia"/>
          <w:lang w:val="en-US" w:eastAsia="zh-CN"/>
        </w:rPr>
        <w:t>28</w:t>
      </w:r>
      <w:r>
        <w:rPr>
          <w:rFonts w:hint="eastAsia"/>
        </w:rPr>
        <w:t>分，评价得分</w:t>
      </w:r>
      <w:r>
        <w:rPr>
          <w:rFonts w:hint="eastAsia"/>
          <w:lang w:val="en-US" w:eastAsia="zh-CN"/>
        </w:rPr>
        <w:t>22</w:t>
      </w:r>
      <w:r>
        <w:rPr>
          <w:rFonts w:hint="eastAsia"/>
        </w:rPr>
        <w:t>分，得分率为</w:t>
      </w:r>
      <w:r>
        <w:rPr>
          <w:rFonts w:hint="eastAsia"/>
          <w:lang w:val="en-US" w:eastAsia="zh-CN"/>
        </w:rPr>
        <w:t>78.57</w:t>
      </w:r>
      <w:r>
        <w:rPr>
          <w:rFonts w:hint="eastAsia"/>
        </w:rPr>
        <w:t>%。</w:t>
      </w:r>
    </w:p>
    <w:p>
      <w:pPr>
        <w:ind w:firstLine="643"/>
        <w:rPr>
          <w:rFonts w:hint="eastAsia" w:ascii="Times New Roman" w:hAnsi="Times New Roman"/>
          <w:highlight w:val="none"/>
        </w:rPr>
      </w:pPr>
      <w:r>
        <w:rPr>
          <w:rFonts w:hint="eastAsia" w:ascii="Times New Roman" w:hAnsi="Times New Roman"/>
          <w:b/>
          <w:bCs/>
          <w:highlight w:val="none"/>
        </w:rPr>
        <w:t>1.</w:t>
      </w:r>
      <w:r>
        <w:rPr>
          <w:rFonts w:hint="eastAsia"/>
          <w:b/>
          <w:bCs/>
          <w:lang w:val="en-US" w:eastAsia="zh-CN"/>
        </w:rPr>
        <w:t>资金管理</w:t>
      </w:r>
    </w:p>
    <w:p>
      <w:pPr>
        <w:ind w:firstLine="640"/>
        <w:rPr>
          <w:color w:val="FF0000"/>
        </w:rPr>
      </w:pPr>
      <w:r>
        <w:t>本指标包含</w:t>
      </w:r>
      <w:r>
        <w:rPr>
          <w:rFonts w:hint="eastAsia"/>
        </w:rPr>
        <w:t>预算执行率</w:t>
      </w:r>
      <w:r>
        <w:t>、</w:t>
      </w:r>
      <w:r>
        <w:rPr>
          <w:rFonts w:hint="eastAsia"/>
        </w:rPr>
        <w:t>资金使用合规性</w:t>
      </w:r>
      <w:r>
        <w:rPr>
          <w:rFonts w:hint="eastAsia"/>
          <w:lang w:val="en-US" w:eastAsia="zh-CN"/>
        </w:rPr>
        <w:t>2</w:t>
      </w:r>
      <w:r>
        <w:t>个三级指标，指标满分</w:t>
      </w:r>
      <w:r>
        <w:rPr>
          <w:rFonts w:hint="eastAsia"/>
          <w:lang w:val="en-US" w:eastAsia="zh-CN"/>
        </w:rPr>
        <w:t>16</w:t>
      </w:r>
      <w:r>
        <w:t>分，评价得分</w:t>
      </w:r>
      <w:r>
        <w:rPr>
          <w:rFonts w:hint="eastAsia"/>
          <w:lang w:val="en-US" w:eastAsia="zh-CN"/>
        </w:rPr>
        <w:t>14</w:t>
      </w:r>
      <w:r>
        <w:t>分，得分率</w:t>
      </w:r>
      <w:r>
        <w:rPr>
          <w:rFonts w:hint="eastAsia"/>
          <w:lang w:val="en-US" w:eastAsia="zh-CN"/>
        </w:rPr>
        <w:t>87.50</w:t>
      </w:r>
      <w:r>
        <w:t>%。</w:t>
      </w:r>
    </w:p>
    <w:p>
      <w:pPr>
        <w:ind w:firstLine="640"/>
        <w:rPr>
          <w:rFonts w:ascii="Times New Roman" w:hAnsi="Times New Roman"/>
          <w:highlight w:val="none"/>
        </w:rPr>
      </w:pPr>
      <w:r>
        <w:rPr>
          <w:rFonts w:hint="eastAsia" w:ascii="Times New Roman" w:hAnsi="Times New Roman"/>
          <w:highlight w:val="none"/>
        </w:rPr>
        <w:t>1）</w:t>
      </w:r>
      <w:r>
        <w:rPr>
          <w:rFonts w:hint="eastAsia"/>
        </w:rPr>
        <w:t>预算执行率</w:t>
      </w:r>
    </w:p>
    <w:p>
      <w:pPr>
        <w:ind w:firstLine="640"/>
        <w:rPr>
          <w:rFonts w:ascii="Times New Roman" w:hAnsi="Times New Roman"/>
          <w:highlight w:val="none"/>
        </w:rPr>
      </w:pPr>
      <w:r>
        <w:rPr>
          <w:rFonts w:hint="eastAsia" w:ascii="Times New Roman" w:hAnsi="Times New Roman"/>
          <w:highlight w:val="none"/>
        </w:rPr>
        <w:t>该指标主要考察项目预算资金是否按照计划执行，用以反映或考核项目预算执行情况。指标满分</w:t>
      </w:r>
      <w:r>
        <w:rPr>
          <w:rFonts w:hint="eastAsia"/>
          <w:highlight w:val="none"/>
          <w:lang w:val="en-US" w:eastAsia="zh-CN"/>
        </w:rPr>
        <w:t>11</w:t>
      </w:r>
      <w:r>
        <w:rPr>
          <w:rFonts w:hint="eastAsia" w:ascii="Times New Roman" w:hAnsi="Times New Roman"/>
          <w:highlight w:val="none"/>
        </w:rPr>
        <w:t>分，评价得分</w:t>
      </w:r>
      <w:r>
        <w:rPr>
          <w:rFonts w:hint="eastAsia"/>
          <w:highlight w:val="none"/>
          <w:lang w:val="en-US" w:eastAsia="zh-CN"/>
        </w:rPr>
        <w:t>11</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pPr>
        <w:ind w:firstLine="640"/>
        <w:rPr>
          <w:rFonts w:ascii="Times New Roman" w:hAnsi="Times New Roman"/>
          <w:highlight w:val="none"/>
        </w:rPr>
      </w:pPr>
      <w:r>
        <w:rPr>
          <w:rFonts w:hint="eastAsia" w:ascii="Times New Roman" w:hAnsi="Times New Roman"/>
          <w:highlight w:val="none"/>
        </w:rPr>
        <w:t>项目实际到位资金1355.85万元，截至2023年3月31日，本项目已支出项目预算资金1355.85万元，资金支出率100%。</w:t>
      </w:r>
    </w:p>
    <w:p>
      <w:pPr>
        <w:ind w:firstLine="640"/>
        <w:rPr>
          <w:rFonts w:ascii="Times New Roman" w:hAnsi="Times New Roman"/>
          <w:highlight w:val="none"/>
        </w:rPr>
      </w:pPr>
      <w:r>
        <w:rPr>
          <w:rFonts w:hint="eastAsia" w:ascii="Times New Roman" w:hAnsi="Times New Roman"/>
          <w:highlight w:val="none"/>
        </w:rPr>
        <w:t>2）</w:t>
      </w:r>
      <w:r>
        <w:rPr>
          <w:rFonts w:hint="eastAsia"/>
        </w:rPr>
        <w:t>资金使用合规性</w:t>
      </w:r>
    </w:p>
    <w:p>
      <w:pPr>
        <w:ind w:firstLine="640"/>
        <w:rPr>
          <w:rFonts w:hint="eastAsia" w:ascii="Times New Roman" w:hAnsi="Times New Roman"/>
          <w:highlight w:val="none"/>
        </w:rPr>
      </w:pPr>
      <w:r>
        <w:rPr>
          <w:rFonts w:hint="eastAsia" w:ascii="Times New Roman" w:hAnsi="Times New Roman"/>
          <w:highlight w:val="none"/>
        </w:rPr>
        <w:t>该指标主要考察项目资金使用是否符合相关的财务管理制度规定，用以反映和考核项目资金的规范运行情况。指标满分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3</w:t>
      </w:r>
      <w:r>
        <w:rPr>
          <w:rFonts w:hint="eastAsia" w:ascii="Times New Roman" w:hAnsi="Times New Roman"/>
          <w:highlight w:val="none"/>
        </w:rPr>
        <w:t>分，得分率</w:t>
      </w:r>
      <w:r>
        <w:rPr>
          <w:rFonts w:hint="eastAsia"/>
          <w:highlight w:val="none"/>
          <w:lang w:val="en-US" w:eastAsia="zh-CN"/>
        </w:rPr>
        <w:t>60</w:t>
      </w:r>
      <w:r>
        <w:rPr>
          <w:rFonts w:hint="eastAsia" w:ascii="Times New Roman" w:hAnsi="Times New Roman"/>
          <w:highlight w:val="none"/>
        </w:rPr>
        <w:t>%。</w:t>
      </w:r>
    </w:p>
    <w:p>
      <w:pPr>
        <w:pStyle w:val="23"/>
        <w:jc w:val="both"/>
        <w:rPr>
          <w:rFonts w:ascii="Times New Roman" w:hAnsi="Times New Roman"/>
          <w:highlight w:val="none"/>
        </w:rPr>
      </w:pPr>
      <w:r>
        <w:rPr>
          <w:rFonts w:hint="eastAsia" w:ascii="Times New Roman" w:hAnsi="Times New Roman" w:eastAsia="仿宋_GB2312" w:cs="Times New Roman"/>
          <w:b w:val="0"/>
          <w:bCs w:val="0"/>
          <w:kern w:val="2"/>
          <w:sz w:val="32"/>
          <w:szCs w:val="24"/>
          <w:highlight w:val="none"/>
          <w:lang w:val="en-US" w:eastAsia="zh-CN" w:bidi="ar-SA"/>
        </w:rPr>
        <w:t>项目资金使用符合国家财经法规和财务管理制度及有关专项资金管理办法的规定</w:t>
      </w:r>
      <w:r>
        <w:rPr>
          <w:rFonts w:hint="eastAsia" w:ascii="Times New Roman"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项目资金拨付程序规范、手续完整</w:t>
      </w:r>
      <w:r>
        <w:rPr>
          <w:rFonts w:hint="eastAsia" w:ascii="Times New Roman"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资金支出符合项目合同规定的用途</w:t>
      </w:r>
      <w:r>
        <w:rPr>
          <w:rFonts w:hint="eastAsia" w:ascii="Times New Roman"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暂未发现截留、挤占、挪用、虚列支出等情况</w:t>
      </w:r>
      <w:r>
        <w:rPr>
          <w:rFonts w:hint="eastAsia" w:ascii="Times New Roman"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但项目资金支出原始凭证附件不够齐全，如</w:t>
      </w:r>
      <w:r>
        <w:rPr>
          <w:rFonts w:hint="eastAsia" w:ascii="Times New Roman" w:cs="Times New Roman"/>
          <w:b w:val="0"/>
          <w:bCs w:val="0"/>
          <w:kern w:val="2"/>
          <w:sz w:val="32"/>
          <w:szCs w:val="24"/>
          <w:highlight w:val="none"/>
          <w:lang w:val="en-US" w:eastAsia="zh-CN" w:bidi="ar-SA"/>
        </w:rPr>
        <w:t>记账凭证</w:t>
      </w:r>
      <w:r>
        <w:rPr>
          <w:rFonts w:hint="eastAsia" w:ascii="Times New Roman" w:hAnsi="Times New Roman" w:eastAsia="仿宋_GB2312" w:cs="Times New Roman"/>
          <w:b w:val="0"/>
          <w:bCs w:val="0"/>
          <w:kern w:val="2"/>
          <w:sz w:val="32"/>
          <w:szCs w:val="24"/>
          <w:highlight w:val="none"/>
          <w:lang w:val="en-US" w:eastAsia="zh-CN" w:bidi="ar-SA"/>
        </w:rPr>
        <w:t>2022年7月31日凭证</w:t>
      </w:r>
      <w:r>
        <w:rPr>
          <w:rFonts w:hint="eastAsia" w:ascii="Times New Roman" w:cs="Times New Roman"/>
          <w:b w:val="0"/>
          <w:bCs w:val="0"/>
          <w:kern w:val="2"/>
          <w:sz w:val="32"/>
          <w:szCs w:val="24"/>
          <w:highlight w:val="none"/>
          <w:lang w:val="en-US" w:eastAsia="zh-CN" w:bidi="ar-SA"/>
        </w:rPr>
        <w:t>号--</w:t>
      </w:r>
      <w:r>
        <w:rPr>
          <w:rFonts w:hint="eastAsia" w:ascii="Times New Roman" w:hAnsi="Times New Roman" w:eastAsia="仿宋_GB2312" w:cs="Times New Roman"/>
          <w:b w:val="0"/>
          <w:bCs w:val="0"/>
          <w:kern w:val="2"/>
          <w:sz w:val="32"/>
          <w:szCs w:val="24"/>
          <w:highlight w:val="none"/>
          <w:lang w:val="en-US" w:eastAsia="zh-CN" w:bidi="ar-SA"/>
        </w:rPr>
        <w:t>0012，资金用途为支付本项目采购款，凭证附件缺乏验收报告、送货记录、合同、审批手续等文件，</w:t>
      </w:r>
      <w:r>
        <w:rPr>
          <w:rFonts w:hint="eastAsia" w:ascii="Times New Roman" w:cs="Times New Roman"/>
          <w:b w:val="0"/>
          <w:bCs w:val="0"/>
          <w:kern w:val="2"/>
          <w:sz w:val="32"/>
          <w:szCs w:val="24"/>
          <w:highlight w:val="none"/>
          <w:lang w:val="en-US" w:eastAsia="zh-CN" w:bidi="ar-SA"/>
        </w:rPr>
        <w:t>资金支付依据不充分，</w:t>
      </w:r>
      <w:r>
        <w:rPr>
          <w:rFonts w:hint="eastAsia" w:ascii="Times New Roman" w:hAnsi="Times New Roman" w:eastAsia="仿宋_GB2312" w:cs="Times New Roman"/>
          <w:b w:val="0"/>
          <w:bCs w:val="0"/>
          <w:kern w:val="2"/>
          <w:sz w:val="32"/>
          <w:szCs w:val="24"/>
          <w:highlight w:val="none"/>
          <w:lang w:val="en-US" w:eastAsia="zh-CN" w:bidi="ar-SA"/>
        </w:rPr>
        <w:t>财务管理不够规范。</w:t>
      </w:r>
      <w:r>
        <w:rPr>
          <w:rFonts w:hint="eastAsia" w:ascii="Times New Roman" w:cs="Times New Roman"/>
          <w:b w:val="0"/>
          <w:bCs w:val="0"/>
          <w:kern w:val="2"/>
          <w:sz w:val="32"/>
          <w:szCs w:val="24"/>
          <w:highlight w:val="none"/>
          <w:lang w:val="en-US" w:eastAsia="zh-CN" w:bidi="ar-SA"/>
        </w:rPr>
        <w:t>此外，</w:t>
      </w:r>
      <w:r>
        <w:rPr>
          <w:rFonts w:hint="eastAsia" w:ascii="Times New Roman" w:hAnsi="Times New Roman" w:cs="Times New Roman"/>
          <w:b w:val="0"/>
          <w:bCs w:val="0"/>
          <w:color w:val="auto"/>
          <w:sz w:val="32"/>
          <w:szCs w:val="22"/>
          <w:lang w:val="en-US" w:eastAsia="zh-CN"/>
        </w:rPr>
        <w:t>本项目未建立专户管理，财政资金混账管理，不符合《专项资金管理办法》和《广东省人民政府关于印发</w:t>
      </w:r>
      <w:r>
        <w:rPr>
          <w:rFonts w:hint="eastAsia" w:ascii="Times New Roman" w:hAnsi="Times New Roman" w:cs="Times New Roman"/>
          <w:b w:val="0"/>
          <w:bCs w:val="0"/>
          <w:color w:val="auto"/>
          <w:sz w:val="32"/>
          <w:szCs w:val="22"/>
          <w:lang w:val="en-US" w:eastAsia="zh-CN"/>
        </w:rPr>
        <w:fldChar w:fldCharType="begin"/>
      </w:r>
      <w:r>
        <w:rPr>
          <w:rFonts w:hint="eastAsia" w:ascii="Times New Roman" w:hAnsi="Times New Roman" w:cs="Times New Roman"/>
          <w:b w:val="0"/>
          <w:bCs w:val="0"/>
          <w:color w:val="auto"/>
          <w:sz w:val="32"/>
          <w:szCs w:val="22"/>
          <w:lang w:val="en-US" w:eastAsia="zh-CN"/>
        </w:rPr>
        <w:instrText xml:space="preserve"> HYPERLINK "https://www.waizi.org.cn/policy/63792.html" \o "粤府〔2018〕120号《广东省省级财政专项资金管理办法（试行）》" \t "https://www.waizi.org.cn/policy/_blank" </w:instrText>
      </w:r>
      <w:r>
        <w:rPr>
          <w:rFonts w:hint="eastAsia" w:ascii="Times New Roman" w:hAnsi="Times New Roman" w:cs="Times New Roman"/>
          <w:b w:val="0"/>
          <w:bCs w:val="0"/>
          <w:color w:val="auto"/>
          <w:sz w:val="32"/>
          <w:szCs w:val="22"/>
          <w:lang w:val="en-US" w:eastAsia="zh-CN"/>
        </w:rPr>
        <w:fldChar w:fldCharType="separate"/>
      </w:r>
      <w:r>
        <w:rPr>
          <w:rFonts w:hint="eastAsia" w:ascii="Times New Roman" w:hAnsi="Times New Roman" w:cs="Times New Roman"/>
          <w:b w:val="0"/>
          <w:bCs w:val="0"/>
          <w:color w:val="auto"/>
          <w:sz w:val="32"/>
          <w:szCs w:val="22"/>
          <w:lang w:val="en-US" w:eastAsia="zh-CN"/>
        </w:rPr>
        <w:t>广东省省级财政专项资金管理办法（试行）</w:t>
      </w:r>
      <w:r>
        <w:rPr>
          <w:rFonts w:hint="eastAsia" w:ascii="Times New Roman" w:hAnsi="Times New Roman" w:cs="Times New Roman"/>
          <w:b w:val="0"/>
          <w:bCs w:val="0"/>
          <w:color w:val="auto"/>
          <w:sz w:val="32"/>
          <w:szCs w:val="22"/>
          <w:lang w:val="en-US" w:eastAsia="zh-CN"/>
        </w:rPr>
        <w:fldChar w:fldCharType="end"/>
      </w:r>
      <w:r>
        <w:rPr>
          <w:rFonts w:hint="eastAsia" w:ascii="Times New Roman" w:hAnsi="Times New Roman" w:cs="Times New Roman"/>
          <w:b w:val="0"/>
          <w:bCs w:val="0"/>
          <w:color w:val="auto"/>
          <w:sz w:val="32"/>
          <w:szCs w:val="22"/>
          <w:lang w:val="en-US" w:eastAsia="zh-CN"/>
        </w:rPr>
        <w:t>的通知》（</w:t>
      </w:r>
      <w:r>
        <w:rPr>
          <w:rFonts w:hint="eastAsia" w:ascii="Times New Roman" w:hAnsi="Times New Roman" w:cs="Times New Roman"/>
          <w:b w:val="0"/>
          <w:bCs w:val="0"/>
          <w:color w:val="auto"/>
          <w:sz w:val="32"/>
          <w:szCs w:val="22"/>
          <w:lang w:val="en-US" w:eastAsia="zh-CN"/>
        </w:rPr>
        <w:fldChar w:fldCharType="begin"/>
      </w:r>
      <w:r>
        <w:rPr>
          <w:rFonts w:hint="eastAsia" w:ascii="Times New Roman" w:hAnsi="Times New Roman" w:cs="Times New Roman"/>
          <w:b w:val="0"/>
          <w:bCs w:val="0"/>
          <w:color w:val="auto"/>
          <w:sz w:val="32"/>
          <w:szCs w:val="22"/>
          <w:lang w:val="en-US" w:eastAsia="zh-CN"/>
        </w:rPr>
        <w:instrText xml:space="preserve"> HYPERLINK "https://www.waizi.org.cn/policy/63792.html" \o "粤府〔2018〕120号《广东省省级财政专项资金管理办法（试行）》" \t "https://www.waizi.org.cn/policy/_blank" </w:instrText>
      </w:r>
      <w:r>
        <w:rPr>
          <w:rFonts w:hint="eastAsia" w:ascii="Times New Roman" w:hAnsi="Times New Roman" w:cs="Times New Roman"/>
          <w:b w:val="0"/>
          <w:bCs w:val="0"/>
          <w:color w:val="auto"/>
          <w:sz w:val="32"/>
          <w:szCs w:val="22"/>
          <w:lang w:val="en-US" w:eastAsia="zh-CN"/>
        </w:rPr>
        <w:fldChar w:fldCharType="separate"/>
      </w:r>
      <w:r>
        <w:rPr>
          <w:rFonts w:hint="eastAsia" w:ascii="Times New Roman" w:hAnsi="Times New Roman" w:cs="Times New Roman"/>
          <w:b w:val="0"/>
          <w:bCs w:val="0"/>
          <w:color w:val="auto"/>
          <w:sz w:val="32"/>
          <w:szCs w:val="22"/>
          <w:lang w:val="en-US" w:eastAsia="zh-CN"/>
        </w:rPr>
        <w:t>粤府〔2018〕120号</w:t>
      </w:r>
      <w:r>
        <w:rPr>
          <w:rFonts w:hint="eastAsia" w:ascii="Times New Roman" w:hAnsi="Times New Roman" w:cs="Times New Roman"/>
          <w:b w:val="0"/>
          <w:bCs w:val="0"/>
          <w:color w:val="auto"/>
          <w:sz w:val="32"/>
          <w:szCs w:val="22"/>
          <w:lang w:val="en-US" w:eastAsia="zh-CN"/>
        </w:rPr>
        <w:fldChar w:fldCharType="end"/>
      </w:r>
      <w:r>
        <w:rPr>
          <w:rFonts w:hint="eastAsia" w:ascii="Times New Roman" w:hAnsi="Times New Roman" w:cs="Times New Roman"/>
          <w:b w:val="0"/>
          <w:bCs w:val="0"/>
          <w:color w:val="auto"/>
          <w:sz w:val="32"/>
          <w:szCs w:val="22"/>
          <w:lang w:val="en-US" w:eastAsia="zh-CN"/>
        </w:rPr>
        <w:t>）要求，缺乏</w:t>
      </w:r>
      <w:r>
        <w:rPr>
          <w:rFonts w:hint="eastAsia" w:cs="Times New Roman"/>
          <w:b w:val="0"/>
          <w:bCs w:val="0"/>
          <w:color w:val="auto"/>
          <w:sz w:val="32"/>
          <w:szCs w:val="22"/>
          <w:lang w:val="en-US" w:eastAsia="zh-CN"/>
        </w:rPr>
        <w:t>对</w:t>
      </w:r>
      <w:r>
        <w:rPr>
          <w:rFonts w:hint="eastAsia" w:ascii="Times New Roman" w:hAnsi="Times New Roman" w:cs="Times New Roman"/>
          <w:b w:val="0"/>
          <w:bCs w:val="0"/>
          <w:color w:val="auto"/>
          <w:sz w:val="32"/>
          <w:szCs w:val="22"/>
          <w:lang w:val="en-US" w:eastAsia="zh-CN"/>
        </w:rPr>
        <w:t>财政资金专户的管理和监督。</w:t>
      </w:r>
      <w:r>
        <w:rPr>
          <w:rFonts w:hint="eastAsia" w:ascii="Times New Roman" w:hAnsi="Times New Roman" w:eastAsia="仿宋_GB2312" w:cs="Times New Roman"/>
          <w:b w:val="0"/>
          <w:bCs w:val="0"/>
          <w:kern w:val="2"/>
          <w:sz w:val="32"/>
          <w:szCs w:val="24"/>
          <w:highlight w:val="none"/>
          <w:lang w:val="en-US" w:eastAsia="zh-CN" w:bidi="ar-SA"/>
        </w:rPr>
        <w:t>因此本项扣</w:t>
      </w:r>
      <w:r>
        <w:rPr>
          <w:rFonts w:hint="eastAsia" w:ascii="Times New Roman" w:cs="Times New Roman"/>
          <w:b w:val="0"/>
          <w:bCs w:val="0"/>
          <w:kern w:val="2"/>
          <w:sz w:val="32"/>
          <w:szCs w:val="24"/>
          <w:highlight w:val="none"/>
          <w:lang w:val="en-US" w:eastAsia="zh-CN" w:bidi="ar-SA"/>
        </w:rPr>
        <w:t>2</w:t>
      </w:r>
      <w:r>
        <w:rPr>
          <w:rFonts w:hint="eastAsia" w:ascii="Times New Roman" w:hAnsi="Times New Roman" w:eastAsia="仿宋_GB2312" w:cs="Times New Roman"/>
          <w:b w:val="0"/>
          <w:bCs w:val="0"/>
          <w:kern w:val="2"/>
          <w:sz w:val="32"/>
          <w:szCs w:val="24"/>
          <w:highlight w:val="none"/>
          <w:lang w:val="en-US" w:eastAsia="zh-CN" w:bidi="ar-SA"/>
        </w:rPr>
        <w:t>分。</w:t>
      </w:r>
    </w:p>
    <w:p>
      <w:pPr>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w:t>
      </w:r>
      <w:r>
        <w:rPr>
          <w:rFonts w:hint="eastAsia"/>
          <w:b/>
          <w:bCs/>
          <w:lang w:val="en-US" w:eastAsia="zh-CN"/>
        </w:rPr>
        <w:t>组织实施</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管理制度健全性</w:t>
      </w:r>
      <w:r>
        <w:rPr>
          <w:rFonts w:hint="eastAsia" w:ascii="Times New Roman" w:hAnsi="Times New Roman"/>
          <w:highlight w:val="none"/>
          <w:lang w:eastAsia="zh-CN"/>
        </w:rPr>
        <w:t>、制度执行有效性</w:t>
      </w:r>
      <w:r>
        <w:rPr>
          <w:rFonts w:hint="eastAsia"/>
          <w:highlight w:val="none"/>
          <w:lang w:eastAsia="zh-CN"/>
        </w:rPr>
        <w:t>、过程监管有效性</w:t>
      </w:r>
      <w:r>
        <w:rPr>
          <w:rFonts w:hint="eastAsia" w:cs="Times New Roman"/>
          <w:highlight w:val="none"/>
          <w:lang w:val="en-US" w:eastAsia="zh-CN"/>
        </w:rPr>
        <w:t>3</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12</w:t>
      </w:r>
      <w:r>
        <w:rPr>
          <w:rFonts w:hint="eastAsia"/>
          <w:szCs w:val="32"/>
          <w:highlight w:val="none"/>
          <w:lang w:val="en-US" w:eastAsia="zh-CN"/>
        </w:rPr>
        <w:t>分，评价得分</w:t>
      </w:r>
      <w:r>
        <w:rPr>
          <w:rFonts w:hint="eastAsia"/>
          <w:highlight w:val="none"/>
          <w:lang w:val="en-US" w:eastAsia="zh-CN"/>
        </w:rPr>
        <w:t>8</w:t>
      </w:r>
      <w:r>
        <w:rPr>
          <w:rFonts w:hint="eastAsia" w:ascii="Times New Roman" w:hAnsi="Times New Roman"/>
          <w:highlight w:val="none"/>
        </w:rPr>
        <w:t>分，得分率</w:t>
      </w:r>
      <w:r>
        <w:rPr>
          <w:rFonts w:hint="eastAsia"/>
          <w:highlight w:val="none"/>
          <w:lang w:val="en-US" w:eastAsia="zh-CN"/>
        </w:rPr>
        <w:t>66.67</w:t>
      </w:r>
      <w:r>
        <w:rPr>
          <w:rFonts w:hint="eastAsia" w:ascii="Times New Roman" w:hAnsi="Times New Roman"/>
          <w:highlight w:val="none"/>
        </w:rPr>
        <w:t>%。</w:t>
      </w:r>
    </w:p>
    <w:p>
      <w:pPr>
        <w:ind w:firstLine="640"/>
        <w:rPr>
          <w:rFonts w:ascii="Times New Roman" w:hAnsi="Times New Roman"/>
          <w:highlight w:val="none"/>
        </w:rPr>
      </w:pPr>
      <w:r>
        <w:rPr>
          <w:rFonts w:hint="default" w:ascii="Times New Roman" w:hAnsi="Times New Roman" w:cs="Times New Roman"/>
          <w:highlight w:val="none"/>
        </w:rPr>
        <w:t>1</w:t>
      </w:r>
      <w:r>
        <w:rPr>
          <w:rFonts w:hint="eastAsia" w:ascii="Times New Roman" w:hAnsi="Times New Roman"/>
          <w:highlight w:val="none"/>
        </w:rPr>
        <w:t>）管理制度健全性</w:t>
      </w:r>
    </w:p>
    <w:p>
      <w:pPr>
        <w:pStyle w:val="6"/>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该指标主要考察项目实施单位的财务和业务管理制度是否健全，用以反映和考核财务和业务管理制度对项目实施的保障情况。指标满分</w:t>
      </w:r>
      <w:r>
        <w:rPr>
          <w:rFonts w:hint="eastAsia" w:ascii="Times New Roman"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分，评价得分</w:t>
      </w:r>
      <w:r>
        <w:rPr>
          <w:rFonts w:hint="eastAsia" w:ascii="Times New Roman"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分，得分率</w:t>
      </w:r>
      <w:r>
        <w:rPr>
          <w:rFonts w:hint="eastAsia" w:ascii="Times New Roman" w:cs="Times New Roman"/>
          <w:kern w:val="2"/>
          <w:sz w:val="32"/>
          <w:szCs w:val="32"/>
          <w:highlight w:val="none"/>
          <w:lang w:val="en-US" w:eastAsia="zh-CN" w:bidi="ar-SA"/>
        </w:rPr>
        <w:t>66.67</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p>
    <w:p>
      <w:pPr>
        <w:ind w:firstLine="640"/>
        <w:rPr>
          <w:rFonts w:ascii="Times New Roman" w:hAnsi="Times New Roman"/>
          <w:highlight w:val="none"/>
        </w:rPr>
      </w:pPr>
      <w:r>
        <w:rPr>
          <w:rFonts w:hint="eastAsia" w:ascii="Times New Roman" w:hAnsi="Times New Roman"/>
          <w:highlight w:val="none"/>
        </w:rPr>
        <w:t>项目单位制定了《潮州市潮安区发展和改革局财务管理制度》和《潮安区级应急物资储备调拨使用管理工作制度》，管理制度合法、合规、完整，管理要求和规范能够满足资金分配使用合理性与安全性要求，但管理制度建设不够完善，例如项目单位未</w:t>
      </w:r>
      <w:r>
        <w:rPr>
          <w:rFonts w:hint="eastAsia"/>
          <w:highlight w:val="none"/>
          <w:lang w:val="en-US" w:eastAsia="zh-CN"/>
        </w:rPr>
        <w:t>制定</w:t>
      </w:r>
      <w:r>
        <w:rPr>
          <w:rFonts w:hint="eastAsia" w:ascii="Times New Roman" w:hAnsi="Times New Roman"/>
          <w:highlight w:val="none"/>
        </w:rPr>
        <w:t>《应急物资储备仓库管理制度》，因此本项扣1分。</w:t>
      </w:r>
    </w:p>
    <w:p>
      <w:pPr>
        <w:ind w:firstLine="640"/>
        <w:rPr>
          <w:rFonts w:ascii="Times New Roman" w:hAnsi="Times New Roman"/>
          <w:highlight w:val="none"/>
        </w:rPr>
      </w:pPr>
      <w:r>
        <w:rPr>
          <w:rFonts w:hint="eastAsia" w:ascii="Times New Roman" w:hAnsi="Times New Roman"/>
          <w:highlight w:val="none"/>
        </w:rPr>
        <w:t>2）</w:t>
      </w:r>
      <w:r>
        <w:rPr>
          <w:rFonts w:hint="eastAsia" w:ascii="Times New Roman" w:hAnsi="Times New Roman"/>
          <w:highlight w:val="none"/>
          <w:lang w:eastAsia="zh-CN"/>
        </w:rPr>
        <w:t>制度执行有效性</w:t>
      </w:r>
    </w:p>
    <w:p>
      <w:pPr>
        <w:ind w:firstLine="640"/>
        <w:rPr>
          <w:rFonts w:hint="eastAsia" w:ascii="Times New Roman" w:hAnsi="Times New Roman"/>
          <w:highlight w:val="none"/>
        </w:rPr>
      </w:pPr>
      <w:r>
        <w:rPr>
          <w:rFonts w:hint="eastAsia" w:ascii="Times New Roman" w:hAnsi="Times New Roman"/>
          <w:highlight w:val="none"/>
        </w:rPr>
        <w:t>该指标主要考察</w:t>
      </w:r>
      <w:r>
        <w:rPr>
          <w:rFonts w:hint="eastAsia" w:ascii="Times New Roman" w:hAnsi="Times New Roman" w:eastAsia="仿宋_GB2312" w:cs="Times New Roman"/>
          <w:kern w:val="2"/>
          <w:sz w:val="32"/>
          <w:szCs w:val="32"/>
          <w:highlight w:val="none"/>
          <w:lang w:val="en-US" w:eastAsia="zh-CN" w:bidi="ar-SA"/>
        </w:rPr>
        <w:t>项目实施是否符合相关管理规定，用以反映和考核项目相关制度的有效执行情况。</w:t>
      </w:r>
      <w:r>
        <w:rPr>
          <w:rFonts w:hint="eastAsia" w:ascii="Times New Roman" w:hAnsi="Times New Roman"/>
          <w:highlight w:val="none"/>
        </w:rPr>
        <w:t>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4</w:t>
      </w:r>
      <w:r>
        <w:rPr>
          <w:rFonts w:hint="eastAsia" w:ascii="Times New Roman" w:hAnsi="Times New Roman"/>
          <w:highlight w:val="none"/>
        </w:rPr>
        <w:t>分，得分率</w:t>
      </w:r>
      <w:r>
        <w:rPr>
          <w:rFonts w:hint="eastAsia"/>
          <w:highlight w:val="none"/>
          <w:lang w:val="en-US" w:eastAsia="zh-CN"/>
        </w:rPr>
        <w:t>80</w:t>
      </w:r>
      <w:r>
        <w:rPr>
          <w:rFonts w:hint="eastAsia" w:ascii="Times New Roman" w:hAnsi="Times New Roman"/>
          <w:highlight w:val="none"/>
        </w:rPr>
        <w:t>%。</w:t>
      </w:r>
    </w:p>
    <w:p>
      <w:pPr>
        <w:pStyle w:val="23"/>
        <w:jc w:val="both"/>
        <w:rPr>
          <w:rFonts w:hint="eastAsia" w:ascii="Times New Roman" w:hAnsi="Times New Roman"/>
          <w:highlight w:val="none"/>
        </w:rPr>
      </w:pPr>
      <w:r>
        <w:rPr>
          <w:rFonts w:hint="eastAsia" w:ascii="Times New Roman" w:hAnsi="Times New Roman" w:eastAsia="仿宋_GB2312" w:cs="Times New Roman"/>
          <w:b w:val="0"/>
          <w:bCs w:val="0"/>
          <w:kern w:val="2"/>
          <w:sz w:val="32"/>
          <w:szCs w:val="32"/>
          <w:highlight w:val="none"/>
          <w:lang w:val="en-US" w:eastAsia="zh-CN" w:bidi="ar-SA"/>
        </w:rPr>
        <w:t>项目实施遵守相关法律法规和相关管理规定，未发生资金调整或实施内容调整，项目采购合同、验收报告、调拨凭证等资料齐全并及时归档，项目实施的人员条件、场地设备、信息支撑等落实到位，但项目单位未</w:t>
      </w:r>
      <w:r>
        <w:rPr>
          <w:rFonts w:hint="eastAsia" w:ascii="Times New Roman" w:cs="Times New Roman"/>
          <w:b w:val="0"/>
          <w:bCs w:val="0"/>
          <w:kern w:val="2"/>
          <w:sz w:val="32"/>
          <w:szCs w:val="32"/>
          <w:highlight w:val="none"/>
          <w:lang w:val="en-US" w:eastAsia="zh-CN" w:bidi="ar-SA"/>
        </w:rPr>
        <w:t>制定采购计划，也未建立</w:t>
      </w:r>
      <w:r>
        <w:rPr>
          <w:rFonts w:hint="eastAsia" w:ascii="Times New Roman" w:hAnsi="Times New Roman" w:eastAsia="仿宋_GB2312" w:cs="Times New Roman"/>
          <w:b w:val="0"/>
          <w:bCs w:val="0"/>
          <w:kern w:val="2"/>
          <w:sz w:val="32"/>
          <w:szCs w:val="32"/>
          <w:highlight w:val="none"/>
          <w:lang w:val="en-US" w:eastAsia="zh-CN" w:bidi="ar-SA"/>
        </w:rPr>
        <w:t>项目</w:t>
      </w:r>
      <w:r>
        <w:rPr>
          <w:rFonts w:hint="eastAsia" w:ascii="Times New Roman" w:cs="Times New Roman"/>
          <w:b w:val="0"/>
          <w:bCs w:val="0"/>
          <w:kern w:val="2"/>
          <w:sz w:val="32"/>
          <w:szCs w:val="32"/>
          <w:highlight w:val="none"/>
          <w:lang w:val="en-US" w:eastAsia="zh-CN" w:bidi="ar-SA"/>
        </w:rPr>
        <w:t>采购领导小组</w:t>
      </w:r>
      <w:r>
        <w:rPr>
          <w:rFonts w:hint="eastAsia" w:ascii="Times New Roman" w:hAnsi="Times New Roman" w:eastAsia="仿宋_GB2312" w:cs="Times New Roman"/>
          <w:b w:val="0"/>
          <w:bCs w:val="0"/>
          <w:kern w:val="2"/>
          <w:sz w:val="32"/>
          <w:szCs w:val="32"/>
          <w:highlight w:val="none"/>
          <w:lang w:val="en-US" w:eastAsia="zh-CN" w:bidi="ar-SA"/>
        </w:rPr>
        <w:t>，</w:t>
      </w:r>
      <w:r>
        <w:rPr>
          <w:rFonts w:hint="eastAsia" w:ascii="Times New Roman" w:cs="Times New Roman"/>
          <w:b w:val="0"/>
          <w:bCs w:val="0"/>
          <w:kern w:val="2"/>
          <w:sz w:val="32"/>
          <w:szCs w:val="32"/>
          <w:highlight w:val="none"/>
          <w:lang w:val="en-US" w:eastAsia="zh-CN" w:bidi="ar-SA"/>
        </w:rPr>
        <w:t>缺少对采购过程的规范</w:t>
      </w:r>
      <w:r>
        <w:rPr>
          <w:rFonts w:hint="eastAsia" w:ascii="Times New Roman" w:hAnsi="Times New Roman" w:eastAsia="仿宋_GB2312" w:cs="Times New Roman"/>
          <w:b w:val="0"/>
          <w:bCs w:val="0"/>
          <w:kern w:val="2"/>
          <w:sz w:val="32"/>
          <w:szCs w:val="32"/>
          <w:highlight w:val="none"/>
          <w:lang w:val="en-US" w:eastAsia="zh-CN" w:bidi="ar-SA"/>
        </w:rPr>
        <w:t>，</w:t>
      </w:r>
      <w:r>
        <w:rPr>
          <w:rFonts w:hint="eastAsia" w:ascii="Times New Roman" w:cs="Times New Roman"/>
          <w:b w:val="0"/>
          <w:bCs w:val="0"/>
          <w:kern w:val="2"/>
          <w:sz w:val="32"/>
          <w:szCs w:val="32"/>
          <w:highlight w:val="none"/>
          <w:lang w:val="en-US" w:eastAsia="zh-CN" w:bidi="ar-SA"/>
        </w:rPr>
        <w:t>未落实各项责任到人，</w:t>
      </w:r>
      <w:r>
        <w:rPr>
          <w:rFonts w:hint="eastAsia" w:ascii="Times New Roman" w:hAnsi="Times New Roman" w:eastAsia="仿宋_GB2312" w:cs="Times New Roman"/>
          <w:b w:val="0"/>
          <w:bCs w:val="0"/>
          <w:kern w:val="2"/>
          <w:sz w:val="32"/>
          <w:szCs w:val="32"/>
          <w:highlight w:val="none"/>
          <w:lang w:val="en-US" w:eastAsia="zh-CN" w:bidi="ar-SA"/>
        </w:rPr>
        <w:t>因此本项扣1分。</w:t>
      </w:r>
    </w:p>
    <w:p>
      <w:pPr>
        <w:ind w:firstLine="640"/>
        <w:rPr>
          <w:rFonts w:ascii="Times New Roman" w:hAnsi="Times New Roman"/>
          <w:highlight w:val="none"/>
        </w:rPr>
      </w:pPr>
      <w:r>
        <w:rPr>
          <w:rFonts w:hint="eastAsia"/>
          <w:highlight w:val="none"/>
          <w:lang w:val="en-US" w:eastAsia="zh-CN"/>
        </w:rPr>
        <w:t>3</w:t>
      </w:r>
      <w:r>
        <w:rPr>
          <w:rFonts w:hint="eastAsia" w:ascii="Times New Roman" w:hAnsi="Times New Roman"/>
          <w:highlight w:val="none"/>
        </w:rPr>
        <w:t>）</w:t>
      </w:r>
      <w:r>
        <w:rPr>
          <w:rFonts w:hint="eastAsia" w:ascii="Times New Roman" w:hAnsi="Times New Roman"/>
          <w:highlight w:val="none"/>
          <w:lang w:eastAsia="zh-CN"/>
        </w:rPr>
        <w:t>过程监管有效性</w:t>
      </w:r>
    </w:p>
    <w:p>
      <w:pPr>
        <w:ind w:firstLine="640"/>
        <w:rPr>
          <w:highlight w:val="none"/>
        </w:rPr>
      </w:pPr>
      <w:r>
        <w:rPr>
          <w:rFonts w:hint="eastAsia" w:ascii="Times New Roman" w:hAnsi="Times New Roman"/>
          <w:highlight w:val="none"/>
        </w:rPr>
        <w:t>该指标主要考察</w:t>
      </w:r>
      <w:r>
        <w:rPr>
          <w:rFonts w:hint="eastAsia" w:ascii="Times New Roman" w:hAnsi="Times New Roman" w:eastAsia="仿宋_GB2312" w:cs="Times New Roman"/>
          <w:kern w:val="2"/>
          <w:sz w:val="32"/>
          <w:szCs w:val="32"/>
          <w:highlight w:val="none"/>
          <w:lang w:val="en-US" w:eastAsia="zh-CN" w:bidi="ar-SA"/>
        </w:rPr>
        <w:t>项目实施单位</w:t>
      </w:r>
      <w:r>
        <w:rPr>
          <w:rFonts w:hint="eastAsia" w:ascii="Times New Roman" w:hAnsi="Times New Roman"/>
          <w:highlight w:val="none"/>
        </w:rPr>
        <w:t>对所实施项目的检查、监控、督促等管理等情况。指标满分</w:t>
      </w:r>
      <w:r>
        <w:rPr>
          <w:rFonts w:hint="eastAsia"/>
          <w:highlight w:val="none"/>
          <w:lang w:val="en-US" w:eastAsia="zh-CN"/>
        </w:rPr>
        <w:t>4</w:t>
      </w:r>
      <w:r>
        <w:rPr>
          <w:rFonts w:hint="eastAsia" w:ascii="Times New Roman" w:hAnsi="Times New Roman"/>
          <w:highlight w:val="none"/>
        </w:rPr>
        <w:t>分，评价得分</w:t>
      </w:r>
      <w:r>
        <w:rPr>
          <w:rFonts w:hint="eastAsia"/>
          <w:highlight w:val="none"/>
          <w:lang w:val="en-US" w:eastAsia="zh-CN"/>
        </w:rPr>
        <w:t>2</w:t>
      </w:r>
      <w:r>
        <w:rPr>
          <w:rFonts w:hint="eastAsia" w:ascii="Times New Roman" w:hAnsi="Times New Roman"/>
          <w:highlight w:val="none"/>
        </w:rPr>
        <w:t>分，得分率</w:t>
      </w:r>
      <w:r>
        <w:rPr>
          <w:rFonts w:hint="eastAsia"/>
          <w:highlight w:val="none"/>
          <w:lang w:val="en-US" w:eastAsia="zh-CN"/>
        </w:rPr>
        <w:t>50</w:t>
      </w:r>
      <w:r>
        <w:rPr>
          <w:rFonts w:hint="eastAsia" w:ascii="Times New Roman" w:hAnsi="Times New Roman"/>
          <w:highlight w:val="none"/>
        </w:rPr>
        <w:t>%。</w:t>
      </w:r>
    </w:p>
    <w:p>
      <w:pPr>
        <w:pStyle w:val="23"/>
        <w:jc w:val="both"/>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项目单位</w:t>
      </w:r>
      <w:r>
        <w:rPr>
          <w:rFonts w:hint="eastAsia" w:ascii="Times New Roman" w:cs="Times New Roman"/>
          <w:b w:val="0"/>
          <w:bCs w:val="0"/>
          <w:kern w:val="2"/>
          <w:sz w:val="32"/>
          <w:szCs w:val="32"/>
          <w:highlight w:val="none"/>
          <w:lang w:val="en-US" w:eastAsia="zh-CN" w:bidi="ar-SA"/>
        </w:rPr>
        <w:t>对</w:t>
      </w:r>
      <w:r>
        <w:rPr>
          <w:rFonts w:hint="eastAsia" w:ascii="Times New Roman" w:hAnsi="Times New Roman" w:eastAsia="仿宋_GB2312" w:cs="Times New Roman"/>
          <w:b w:val="0"/>
          <w:bCs w:val="0"/>
          <w:kern w:val="2"/>
          <w:sz w:val="32"/>
          <w:szCs w:val="32"/>
          <w:highlight w:val="none"/>
          <w:lang w:val="en-US" w:eastAsia="zh-CN" w:bidi="ar-SA"/>
        </w:rPr>
        <w:t>公共卫生</w:t>
      </w:r>
      <w:r>
        <w:rPr>
          <w:rFonts w:hint="eastAsia" w:ascii="Times New Roman" w:cs="Times New Roman"/>
          <w:b w:val="0"/>
          <w:bCs w:val="0"/>
          <w:kern w:val="2"/>
          <w:sz w:val="32"/>
          <w:szCs w:val="32"/>
          <w:highlight w:val="none"/>
          <w:lang w:val="en-US" w:eastAsia="zh-CN" w:bidi="ar-SA"/>
        </w:rPr>
        <w:t>应急物资的保管和维护、更新和补充、组织领导等</w:t>
      </w:r>
      <w:r>
        <w:rPr>
          <w:rFonts w:hint="eastAsia" w:ascii="Times New Roman" w:hAnsi="Times New Roman" w:eastAsia="仿宋_GB2312" w:cs="Times New Roman"/>
          <w:b w:val="0"/>
          <w:bCs w:val="0"/>
          <w:kern w:val="2"/>
          <w:sz w:val="32"/>
          <w:szCs w:val="32"/>
          <w:highlight w:val="none"/>
          <w:lang w:val="en-US" w:eastAsia="zh-CN" w:bidi="ar-SA"/>
        </w:rPr>
        <w:t>欠缺规范，</w:t>
      </w:r>
      <w:r>
        <w:rPr>
          <w:rFonts w:hint="eastAsia" w:ascii="Times New Roman" w:cs="Times New Roman"/>
          <w:b w:val="0"/>
          <w:bCs w:val="0"/>
          <w:kern w:val="2"/>
          <w:sz w:val="32"/>
          <w:szCs w:val="32"/>
          <w:highlight w:val="none"/>
          <w:lang w:val="en-US" w:eastAsia="zh-CN" w:bidi="ar-SA"/>
        </w:rPr>
        <w:t>未按照各类公共卫生应急物资的储备规模进行分类管理，库房储备日常检查不够到位，曾发生过部分消毒剂（环境消毒）出现外泄现象，过程监管有效性不足，</w:t>
      </w:r>
      <w:r>
        <w:rPr>
          <w:rFonts w:hint="eastAsia" w:ascii="Times New Roman" w:hAnsi="Times New Roman" w:eastAsia="仿宋_GB2312" w:cs="Times New Roman"/>
          <w:b w:val="0"/>
          <w:bCs w:val="0"/>
          <w:kern w:val="2"/>
          <w:sz w:val="32"/>
          <w:szCs w:val="32"/>
          <w:highlight w:val="none"/>
          <w:lang w:val="en-US" w:eastAsia="zh-CN" w:bidi="ar-SA"/>
        </w:rPr>
        <w:t>因此本项</w:t>
      </w:r>
      <w:bookmarkStart w:id="56" w:name="_GoBack"/>
      <w:r>
        <w:rPr>
          <w:rFonts w:hint="eastAsia" w:ascii="Times New Roman" w:cs="Times New Roman"/>
          <w:b w:val="0"/>
          <w:bCs w:val="0"/>
          <w:kern w:val="2"/>
          <w:sz w:val="32"/>
          <w:szCs w:val="32"/>
          <w:highlight w:val="none"/>
          <w:lang w:val="en-US" w:eastAsia="zh-CN" w:bidi="ar-SA"/>
        </w:rPr>
        <w:t>扣</w:t>
      </w:r>
      <w:bookmarkEnd w:id="56"/>
      <w:r>
        <w:rPr>
          <w:rFonts w:hint="eastAsia" w:ascii="Times New Roman" w:cs="Times New Roman"/>
          <w:b w:val="0"/>
          <w:bCs w:val="0"/>
          <w:kern w:val="2"/>
          <w:sz w:val="32"/>
          <w:szCs w:val="32"/>
          <w:highlight w:val="none"/>
          <w:lang w:val="en-US" w:eastAsia="zh-CN" w:bidi="ar-SA"/>
        </w:rPr>
        <w:t>2</w:t>
      </w:r>
      <w:r>
        <w:rPr>
          <w:rFonts w:hint="eastAsia" w:ascii="Times New Roman" w:hAnsi="Times New Roman" w:eastAsia="仿宋_GB2312" w:cs="Times New Roman"/>
          <w:b w:val="0"/>
          <w:bCs w:val="0"/>
          <w:kern w:val="2"/>
          <w:sz w:val="32"/>
          <w:szCs w:val="32"/>
          <w:highlight w:val="none"/>
          <w:lang w:val="en-US" w:eastAsia="zh-CN" w:bidi="ar-SA"/>
        </w:rPr>
        <w:t>分。</w:t>
      </w:r>
    </w:p>
    <w:p>
      <w:pPr>
        <w:pStyle w:val="3"/>
        <w:spacing w:before="156" w:after="156"/>
        <w:ind w:firstLine="643"/>
        <w:rPr>
          <w:rFonts w:hint="eastAsia" w:ascii="Times New Roman" w:hAnsi="Times New Roman" w:eastAsia="楷体_GB2312"/>
          <w:highlight w:val="none"/>
          <w:lang w:eastAsia="zh-CN"/>
        </w:rPr>
      </w:pPr>
      <w:bookmarkStart w:id="17" w:name="_Toc21661"/>
      <w:r>
        <w:rPr>
          <w:rFonts w:ascii="Times New Roman" w:hAnsi="Times New Roman"/>
          <w:highlight w:val="none"/>
        </w:rPr>
        <w:t>（</w:t>
      </w:r>
      <w:r>
        <w:rPr>
          <w:rFonts w:hint="eastAsia" w:ascii="Times New Roman" w:hAnsi="Times New Roman"/>
          <w:highlight w:val="none"/>
          <w:lang w:val="en-US" w:eastAsia="zh-CN"/>
        </w:rPr>
        <w:t>三</w:t>
      </w:r>
      <w:r>
        <w:rPr>
          <w:rFonts w:ascii="Times New Roman" w:hAnsi="Times New Roman"/>
          <w:highlight w:val="none"/>
        </w:rPr>
        <w:t>）项目</w:t>
      </w:r>
      <w:r>
        <w:rPr>
          <w:rFonts w:hint="eastAsia" w:ascii="Times New Roman" w:hAnsi="Times New Roman"/>
          <w:highlight w:val="none"/>
          <w:lang w:val="en-US" w:eastAsia="zh-CN"/>
        </w:rPr>
        <w:t>产出</w:t>
      </w:r>
      <w:bookmarkEnd w:id="17"/>
    </w:p>
    <w:p>
      <w:pPr>
        <w:adjustRightInd w:val="0"/>
        <w:ind w:firstLine="640"/>
        <w:rPr>
          <w:rFonts w:hint="eastAsia"/>
        </w:rPr>
      </w:pPr>
      <w:r>
        <w:rPr>
          <w:rFonts w:hint="eastAsia"/>
        </w:rPr>
        <w:t>本指标包含</w:t>
      </w:r>
      <w:r>
        <w:rPr>
          <w:rFonts w:hint="eastAsia"/>
          <w:lang w:val="en-US" w:eastAsia="zh-CN"/>
        </w:rPr>
        <w:t>产出数量、产出质量、产出时效、产出成本4</w:t>
      </w:r>
      <w:r>
        <w:rPr>
          <w:rFonts w:hint="eastAsia"/>
        </w:rPr>
        <w:t>个二级指标。指标满分</w:t>
      </w:r>
      <w:r>
        <w:rPr>
          <w:rFonts w:hint="eastAsia"/>
          <w:lang w:val="en-US" w:eastAsia="zh-CN"/>
        </w:rPr>
        <w:t>20</w:t>
      </w:r>
      <w:r>
        <w:rPr>
          <w:rFonts w:hint="eastAsia"/>
        </w:rPr>
        <w:t>分，评价得分</w:t>
      </w:r>
      <w:r>
        <w:rPr>
          <w:rFonts w:hint="eastAsia"/>
          <w:lang w:val="en-US" w:eastAsia="zh-CN"/>
        </w:rPr>
        <w:t>14.5</w:t>
      </w:r>
      <w:r>
        <w:rPr>
          <w:rFonts w:hint="eastAsia"/>
        </w:rPr>
        <w:t>分，得分率为</w:t>
      </w:r>
      <w:r>
        <w:rPr>
          <w:rFonts w:hint="eastAsia"/>
          <w:lang w:val="en-US" w:eastAsia="zh-CN"/>
        </w:rPr>
        <w:t>72.5</w:t>
      </w:r>
      <w:r>
        <w:rPr>
          <w:rFonts w:hint="eastAsia"/>
        </w:rPr>
        <w:t>%。</w:t>
      </w:r>
    </w:p>
    <w:p>
      <w:pPr>
        <w:ind w:firstLine="643"/>
        <w:rPr>
          <w:rFonts w:hint="eastAsia" w:ascii="Times New Roman" w:hAnsi="Times New Roman"/>
          <w:highlight w:val="none"/>
        </w:rPr>
      </w:pPr>
      <w:r>
        <w:rPr>
          <w:rFonts w:hint="eastAsia" w:ascii="Times New Roman" w:hAnsi="Times New Roman"/>
          <w:b/>
          <w:bCs/>
          <w:highlight w:val="none"/>
        </w:rPr>
        <w:t>1.</w:t>
      </w:r>
      <w:r>
        <w:rPr>
          <w:rFonts w:hint="eastAsia"/>
          <w:lang w:val="en-US" w:eastAsia="zh-CN"/>
        </w:rPr>
        <w:t>产出数量</w:t>
      </w:r>
    </w:p>
    <w:p>
      <w:pPr>
        <w:ind w:firstLine="640"/>
        <w:rPr>
          <w:color w:val="FF0000"/>
        </w:rPr>
      </w:pPr>
      <w:r>
        <w:t>本指标包含</w:t>
      </w:r>
      <w:r>
        <w:rPr>
          <w:rFonts w:hint="eastAsia"/>
          <w:lang w:val="en-US" w:eastAsia="zh-CN"/>
        </w:rPr>
        <w:t>应急物资储备数量1</w:t>
      </w:r>
      <w:r>
        <w:t>个三级指标，指标满分</w:t>
      </w:r>
      <w:r>
        <w:rPr>
          <w:rFonts w:hint="eastAsia"/>
          <w:lang w:val="en-US" w:eastAsia="zh-CN"/>
        </w:rPr>
        <w:t>5</w:t>
      </w:r>
      <w:r>
        <w:t>分，评价得分</w:t>
      </w:r>
      <w:r>
        <w:rPr>
          <w:rFonts w:hint="eastAsia"/>
          <w:lang w:val="en-US" w:eastAsia="zh-CN"/>
        </w:rPr>
        <w:t>5</w:t>
      </w:r>
      <w:r>
        <w:t>分，得分率</w:t>
      </w:r>
      <w:r>
        <w:rPr>
          <w:rFonts w:hint="eastAsia"/>
          <w:lang w:val="en-US" w:eastAsia="zh-CN"/>
        </w:rPr>
        <w:t>100</w:t>
      </w:r>
      <w:r>
        <w:t>%。</w:t>
      </w:r>
    </w:p>
    <w:p>
      <w:pPr>
        <w:ind w:firstLine="640"/>
        <w:rPr>
          <w:rFonts w:ascii="Times New Roman" w:hAnsi="Times New Roman"/>
          <w:highlight w:val="none"/>
        </w:rPr>
      </w:pPr>
      <w:r>
        <w:rPr>
          <w:rFonts w:hint="eastAsia" w:ascii="Times New Roman" w:hAnsi="Times New Roman"/>
          <w:highlight w:val="none"/>
        </w:rPr>
        <w:t>1）</w:t>
      </w:r>
      <w:r>
        <w:rPr>
          <w:rFonts w:hint="eastAsia"/>
          <w:lang w:val="en-US" w:eastAsia="zh-CN"/>
        </w:rPr>
        <w:t>应急物资储备数量</w:t>
      </w:r>
    </w:p>
    <w:p>
      <w:pPr>
        <w:ind w:firstLine="640"/>
        <w:rPr>
          <w:rFonts w:ascii="Times New Roman" w:hAnsi="Times New Roman"/>
          <w:highlight w:val="none"/>
        </w:rPr>
      </w:pPr>
      <w:r>
        <w:rPr>
          <w:rFonts w:hint="eastAsia" w:ascii="Times New Roman" w:hAnsi="Times New Roman"/>
          <w:highlight w:val="none"/>
        </w:rPr>
        <w:t>该指标主要考核项目应急物资储备存量是否满足应急物资储备需求。指标满分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5</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r>
        <w:rPr>
          <w:rFonts w:hint="eastAsia"/>
        </w:rPr>
        <w:t>根据项目单位提供的合同书、入库清单等资料，本项目已完成采购防护眼罩4980副、防护面罩4980个、防护服24900件、隔离衣24900套等应急物资，与采购合同书要求数量一致，因此本项得满分。</w:t>
      </w:r>
    </w:p>
    <w:p>
      <w:pPr>
        <w:ind w:firstLine="643"/>
        <w:rPr>
          <w:rFonts w:hint="eastAsia" w:ascii="Times New Roman" w:hAnsi="Times New Roman"/>
          <w:highlight w:val="none"/>
        </w:rPr>
      </w:pPr>
      <w:r>
        <w:rPr>
          <w:rFonts w:hint="eastAsia"/>
          <w:b/>
          <w:bCs/>
          <w:highlight w:val="none"/>
          <w:lang w:val="en-US" w:eastAsia="zh-CN"/>
        </w:rPr>
        <w:t>2</w:t>
      </w:r>
      <w:r>
        <w:rPr>
          <w:rFonts w:hint="eastAsia" w:ascii="Times New Roman" w:hAnsi="Times New Roman"/>
          <w:b/>
          <w:bCs/>
          <w:highlight w:val="none"/>
        </w:rPr>
        <w:t>.</w:t>
      </w:r>
      <w:r>
        <w:rPr>
          <w:rFonts w:hint="eastAsia"/>
          <w:lang w:val="en-US" w:eastAsia="zh-CN"/>
        </w:rPr>
        <w:t>产出质量</w:t>
      </w:r>
    </w:p>
    <w:p>
      <w:pPr>
        <w:ind w:firstLine="640"/>
        <w:rPr>
          <w:color w:val="FF0000"/>
        </w:rPr>
      </w:pPr>
      <w:r>
        <w:t>本指标包含</w:t>
      </w:r>
      <w:r>
        <w:rPr>
          <w:rFonts w:hint="eastAsia"/>
          <w:lang w:val="en-US" w:eastAsia="zh-CN"/>
        </w:rPr>
        <w:t>验收质量达标率1</w:t>
      </w:r>
      <w:r>
        <w:t>个三级指标，指标满分</w:t>
      </w:r>
      <w:r>
        <w:rPr>
          <w:rFonts w:hint="eastAsia"/>
          <w:lang w:val="en-US" w:eastAsia="zh-CN"/>
        </w:rPr>
        <w:t>5</w:t>
      </w:r>
      <w:r>
        <w:t>分，评价得分</w:t>
      </w:r>
      <w:r>
        <w:rPr>
          <w:rFonts w:hint="eastAsia"/>
          <w:lang w:val="en-US" w:eastAsia="zh-CN"/>
        </w:rPr>
        <w:t>4</w:t>
      </w:r>
      <w:r>
        <w:t>分，得分率</w:t>
      </w:r>
      <w:r>
        <w:rPr>
          <w:rFonts w:hint="eastAsia"/>
          <w:lang w:val="en-US" w:eastAsia="zh-CN"/>
        </w:rPr>
        <w:t>80</w:t>
      </w:r>
      <w:r>
        <w:t>%。</w:t>
      </w:r>
    </w:p>
    <w:p>
      <w:pPr>
        <w:ind w:firstLine="640"/>
        <w:rPr>
          <w:rFonts w:ascii="Times New Roman" w:hAnsi="Times New Roman"/>
          <w:highlight w:val="none"/>
        </w:rPr>
      </w:pPr>
      <w:r>
        <w:rPr>
          <w:rFonts w:hint="eastAsia" w:ascii="Times New Roman" w:hAnsi="Times New Roman"/>
          <w:highlight w:val="none"/>
        </w:rPr>
        <w:t>1）验收质量达标率</w:t>
      </w:r>
    </w:p>
    <w:p>
      <w:pPr>
        <w:ind w:firstLine="640"/>
        <w:rPr>
          <w:rFonts w:hint="eastAsia" w:ascii="Times New Roman" w:hAnsi="Times New Roman"/>
          <w:highlight w:val="none"/>
        </w:rPr>
      </w:pPr>
      <w:r>
        <w:rPr>
          <w:rFonts w:hint="eastAsia" w:ascii="Times New Roman" w:hAnsi="Times New Roman"/>
          <w:highlight w:val="none"/>
        </w:rPr>
        <w:t>该指标主要考察采购物资验收质量达标产出数与实际产出数的比率，用以反映和考核项目产出质量目标的实现程度。指标满分</w:t>
      </w:r>
      <w:r>
        <w:rPr>
          <w:rFonts w:hint="eastAsia" w:ascii="Times New Roman" w:hAnsi="Times New Roman"/>
          <w:highlight w:val="none"/>
          <w:lang w:val="en-US" w:eastAsia="zh-CN"/>
        </w:rPr>
        <w:t>5</w:t>
      </w:r>
      <w:r>
        <w:rPr>
          <w:rFonts w:hint="eastAsia" w:ascii="Times New Roman" w:hAnsi="Times New Roman"/>
          <w:highlight w:val="none"/>
        </w:rPr>
        <w:t>分，评价得分</w:t>
      </w:r>
      <w:r>
        <w:rPr>
          <w:rFonts w:hint="eastAsia" w:ascii="Times New Roman" w:hAnsi="Times New Roman"/>
          <w:highlight w:val="none"/>
          <w:lang w:val="en-US" w:eastAsia="zh-CN"/>
        </w:rPr>
        <w:t>4</w:t>
      </w:r>
      <w:r>
        <w:rPr>
          <w:rFonts w:hint="eastAsia" w:ascii="Times New Roman" w:hAnsi="Times New Roman"/>
          <w:highlight w:val="none"/>
        </w:rPr>
        <w:t>分，得分率</w:t>
      </w:r>
      <w:r>
        <w:rPr>
          <w:rFonts w:hint="eastAsia" w:ascii="Times New Roman" w:hAnsi="Times New Roman"/>
          <w:highlight w:val="none"/>
          <w:lang w:val="en-US" w:eastAsia="zh-CN"/>
        </w:rPr>
        <w:t>80</w:t>
      </w:r>
      <w:r>
        <w:rPr>
          <w:rFonts w:hint="eastAsia" w:ascii="Times New Roman" w:hAnsi="Times New Roman"/>
          <w:highlight w:val="none"/>
        </w:rPr>
        <w:t>%。</w:t>
      </w:r>
    </w:p>
    <w:p>
      <w:pPr>
        <w:ind w:firstLine="640"/>
        <w:rPr>
          <w:rFonts w:hint="eastAsia" w:ascii="Times New Roman" w:hAnsi="Times New Roman"/>
          <w:highlight w:val="none"/>
        </w:rPr>
      </w:pPr>
      <w:r>
        <w:rPr>
          <w:rFonts w:hint="eastAsia" w:ascii="Times New Roman" w:hAnsi="Times New Roman"/>
          <w:highlight w:val="none"/>
        </w:rPr>
        <w:t>根据项目单位的验收报告，本项目经供应商和采购项目负责人签字确认完成，但存在的问题为验收报告上未填写验收意见，且验收过程未有相关专业人士参与验收，无法确保应急物资质量是否达标</w:t>
      </w:r>
      <w:r>
        <w:rPr>
          <w:rFonts w:hint="eastAsia"/>
          <w:lang w:eastAsia="zh-CN"/>
        </w:rPr>
        <w:t>，</w:t>
      </w:r>
      <w:r>
        <w:rPr>
          <w:rFonts w:hint="eastAsia"/>
          <w:lang w:val="en-US" w:eastAsia="zh-CN"/>
        </w:rPr>
        <w:t>验收报告较为简单，缺少质量合格证支撑</w:t>
      </w:r>
      <w:r>
        <w:rPr>
          <w:rFonts w:hint="eastAsia" w:ascii="Times New Roman" w:hAnsi="Times New Roman"/>
          <w:highlight w:val="none"/>
        </w:rPr>
        <w:t>，因此本项酌情扣1分。</w:t>
      </w:r>
    </w:p>
    <w:p>
      <w:pPr>
        <w:ind w:firstLine="643"/>
        <w:rPr>
          <w:rFonts w:hint="eastAsia" w:ascii="Times New Roman" w:hAnsi="Times New Roman"/>
          <w:highlight w:val="none"/>
        </w:rPr>
      </w:pPr>
      <w:r>
        <w:rPr>
          <w:rFonts w:hint="eastAsia"/>
          <w:b/>
          <w:bCs/>
          <w:highlight w:val="none"/>
          <w:lang w:val="en-US" w:eastAsia="zh-CN"/>
        </w:rPr>
        <w:t>3</w:t>
      </w:r>
      <w:r>
        <w:rPr>
          <w:rFonts w:hint="eastAsia" w:ascii="Times New Roman" w:hAnsi="Times New Roman"/>
          <w:b/>
          <w:bCs/>
          <w:highlight w:val="none"/>
        </w:rPr>
        <w:t>.</w:t>
      </w:r>
      <w:r>
        <w:rPr>
          <w:rFonts w:hint="eastAsia"/>
          <w:lang w:val="en-US" w:eastAsia="zh-CN"/>
        </w:rPr>
        <w:t>产出时效</w:t>
      </w:r>
    </w:p>
    <w:p>
      <w:pPr>
        <w:ind w:firstLine="640"/>
        <w:rPr>
          <w:color w:val="FF0000"/>
        </w:rPr>
      </w:pPr>
      <w:r>
        <w:t>本指标包含</w:t>
      </w:r>
      <w:r>
        <w:rPr>
          <w:rFonts w:hint="eastAsia"/>
          <w:lang w:val="en-US" w:eastAsia="zh-CN"/>
        </w:rPr>
        <w:t>采购及时率1</w:t>
      </w:r>
      <w:r>
        <w:t>个三级指标，指标满分</w:t>
      </w:r>
      <w:r>
        <w:rPr>
          <w:rFonts w:hint="eastAsia"/>
          <w:lang w:val="en-US" w:eastAsia="zh-CN"/>
        </w:rPr>
        <w:t>5</w:t>
      </w:r>
      <w:r>
        <w:t>分，评价得分</w:t>
      </w:r>
      <w:r>
        <w:rPr>
          <w:rFonts w:hint="eastAsia"/>
          <w:lang w:val="en-US" w:eastAsia="zh-CN"/>
        </w:rPr>
        <w:t>2.5</w:t>
      </w:r>
      <w:r>
        <w:t>分，得分率</w:t>
      </w:r>
      <w:r>
        <w:rPr>
          <w:rFonts w:hint="eastAsia"/>
          <w:lang w:val="en-US" w:eastAsia="zh-CN"/>
        </w:rPr>
        <w:t>50</w:t>
      </w:r>
      <w:r>
        <w:t>%。</w:t>
      </w:r>
    </w:p>
    <w:p>
      <w:pPr>
        <w:ind w:firstLine="640"/>
        <w:rPr>
          <w:rFonts w:ascii="Times New Roman" w:hAnsi="Times New Roman"/>
          <w:highlight w:val="none"/>
        </w:rPr>
      </w:pPr>
      <w:r>
        <w:rPr>
          <w:rFonts w:hint="eastAsia" w:ascii="Times New Roman" w:hAnsi="Times New Roman"/>
          <w:highlight w:val="none"/>
        </w:rPr>
        <w:t>1）采购及时率</w:t>
      </w:r>
    </w:p>
    <w:p>
      <w:pPr>
        <w:ind w:firstLine="640"/>
        <w:rPr>
          <w:rFonts w:ascii="Times New Roman" w:hAnsi="Times New Roman"/>
          <w:highlight w:val="none"/>
        </w:rPr>
      </w:pPr>
      <w:r>
        <w:rPr>
          <w:rFonts w:hint="eastAsia" w:ascii="Times New Roman" w:hAnsi="Times New Roman"/>
          <w:highlight w:val="none"/>
        </w:rPr>
        <w:t>该指标主要考察实际完成</w:t>
      </w:r>
      <w:r>
        <w:rPr>
          <w:rFonts w:hint="eastAsia"/>
          <w:highlight w:val="none"/>
          <w:lang w:val="en-US" w:eastAsia="zh-CN"/>
        </w:rPr>
        <w:t>采购</w:t>
      </w:r>
      <w:r>
        <w:rPr>
          <w:rFonts w:hint="eastAsia" w:ascii="Times New Roman" w:hAnsi="Times New Roman"/>
          <w:highlight w:val="none"/>
        </w:rPr>
        <w:t>时间与计划完成</w:t>
      </w:r>
      <w:r>
        <w:rPr>
          <w:rFonts w:hint="eastAsia"/>
          <w:highlight w:val="none"/>
          <w:lang w:val="en-US" w:eastAsia="zh-CN"/>
        </w:rPr>
        <w:t>采购</w:t>
      </w:r>
      <w:r>
        <w:rPr>
          <w:rFonts w:hint="eastAsia" w:ascii="Times New Roman" w:hAnsi="Times New Roman"/>
          <w:highlight w:val="none"/>
        </w:rPr>
        <w:t>时间的比较，用以反映和考核项目及时采购物资的实现程度。指标满分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2.5</w:t>
      </w:r>
      <w:r>
        <w:rPr>
          <w:rFonts w:hint="eastAsia" w:ascii="Times New Roman" w:hAnsi="Times New Roman"/>
          <w:highlight w:val="none"/>
        </w:rPr>
        <w:t>分，得分率</w:t>
      </w:r>
      <w:r>
        <w:rPr>
          <w:rFonts w:hint="eastAsia"/>
          <w:highlight w:val="none"/>
          <w:lang w:val="en-US" w:eastAsia="zh-CN"/>
        </w:rPr>
        <w:t>50</w:t>
      </w:r>
      <w:r>
        <w:rPr>
          <w:rFonts w:hint="eastAsia" w:ascii="Times New Roman" w:hAnsi="Times New Roman"/>
          <w:highlight w:val="none"/>
        </w:rPr>
        <w:t>%。</w:t>
      </w:r>
    </w:p>
    <w:p>
      <w:r>
        <w:rPr>
          <w:rFonts w:hint="eastAsia"/>
        </w:rPr>
        <w:t>根据项目单位提供的合同书和验收报告，本项目分两批次进行采购，第一批次采购合同签订日期为2022年4月12日，合同约定全部货物自采购合同生效之日起30个日历天内交货</w:t>
      </w:r>
      <w:r>
        <w:rPr>
          <w:rFonts w:hint="eastAsia"/>
          <w:lang w:eastAsia="zh-CN"/>
        </w:rPr>
        <w:t>，</w:t>
      </w:r>
      <w:r>
        <w:rPr>
          <w:rFonts w:hint="eastAsia"/>
          <w:lang w:val="en-US" w:eastAsia="zh-CN"/>
        </w:rPr>
        <w:t>计划交货时间为2022年6月12日</w:t>
      </w:r>
      <w:r>
        <w:rPr>
          <w:rFonts w:hint="eastAsia"/>
        </w:rPr>
        <w:t>，实际到货日期为2022年6月20日，晚于合同约定时间；第二批次采购合同签订日期为2022年4月25日，合同约定全部货物自采购合同生效之日起60个日历天内交货</w:t>
      </w:r>
      <w:r>
        <w:rPr>
          <w:rFonts w:hint="eastAsia"/>
          <w:lang w:eastAsia="zh-CN"/>
        </w:rPr>
        <w:t>，</w:t>
      </w:r>
      <w:r>
        <w:rPr>
          <w:rFonts w:hint="eastAsia"/>
          <w:lang w:val="en-US" w:eastAsia="zh-CN"/>
        </w:rPr>
        <w:t>即计划交货时间为2022年6月25日</w:t>
      </w:r>
      <w:r>
        <w:rPr>
          <w:rFonts w:hint="eastAsia"/>
        </w:rPr>
        <w:t>，实际到货日期为2022年6月25日</w:t>
      </w:r>
      <w:r>
        <w:rPr>
          <w:rFonts w:hint="eastAsia"/>
          <w:lang w:eastAsia="zh-CN"/>
        </w:rPr>
        <w:t>，</w:t>
      </w:r>
      <w:r>
        <w:rPr>
          <w:rFonts w:hint="eastAsia"/>
          <w:lang w:val="en-US" w:eastAsia="zh-CN"/>
        </w:rPr>
        <w:t>2</w:t>
      </w:r>
      <w:r>
        <w:rPr>
          <w:rFonts w:hint="eastAsia" w:ascii="Times New Roman" w:hAnsi="Times New Roman" w:eastAsia="仿宋_GB2312" w:cs="Times New Roman"/>
          <w:b w:val="0"/>
          <w:bCs w:val="0"/>
          <w:kern w:val="2"/>
          <w:sz w:val="32"/>
          <w:szCs w:val="24"/>
          <w:lang w:val="en-US" w:eastAsia="zh-CN" w:bidi="ar-SA"/>
        </w:rPr>
        <w:t>022年</w:t>
      </w:r>
      <w:r>
        <w:rPr>
          <w:rFonts w:hint="eastAsia" w:ascii="Times New Roman" w:hAnsi="Times New Roman" w:cs="Times New Roman"/>
          <w:b w:val="0"/>
          <w:bCs w:val="0"/>
          <w:kern w:val="2"/>
          <w:sz w:val="32"/>
          <w:szCs w:val="24"/>
          <w:lang w:val="en-US" w:eastAsia="zh-CN" w:bidi="ar-SA"/>
        </w:rPr>
        <w:t>9</w:t>
      </w:r>
      <w:r>
        <w:rPr>
          <w:rFonts w:hint="eastAsia" w:ascii="Times New Roman" w:hAnsi="Times New Roman" w:eastAsia="仿宋_GB2312" w:cs="Times New Roman"/>
          <w:b w:val="0"/>
          <w:bCs w:val="0"/>
          <w:kern w:val="2"/>
          <w:sz w:val="32"/>
          <w:szCs w:val="24"/>
          <w:lang w:val="en-US" w:eastAsia="zh-CN" w:bidi="ar-SA"/>
        </w:rPr>
        <w:t>月</w:t>
      </w:r>
      <w:r>
        <w:rPr>
          <w:rFonts w:hint="eastAsia" w:ascii="Times New Roman" w:hAnsi="Times New Roman" w:cs="Times New Roman"/>
          <w:b w:val="0"/>
          <w:bCs w:val="0"/>
          <w:kern w:val="2"/>
          <w:sz w:val="32"/>
          <w:szCs w:val="24"/>
          <w:lang w:val="en-US" w:eastAsia="zh-CN" w:bidi="ar-SA"/>
        </w:rPr>
        <w:t>14</w:t>
      </w:r>
      <w:r>
        <w:rPr>
          <w:rFonts w:hint="eastAsia" w:ascii="Times New Roman" w:hAnsi="Times New Roman" w:eastAsia="仿宋_GB2312" w:cs="Times New Roman"/>
          <w:b w:val="0"/>
          <w:bCs w:val="0"/>
          <w:kern w:val="2"/>
          <w:sz w:val="32"/>
          <w:szCs w:val="24"/>
          <w:lang w:val="en-US" w:eastAsia="zh-CN" w:bidi="ar-SA"/>
        </w:rPr>
        <w:t>日确认验收</w:t>
      </w:r>
      <w:r>
        <w:rPr>
          <w:rFonts w:hint="eastAsia" w:cs="Times New Roman"/>
          <w:b w:val="0"/>
          <w:bCs w:val="0"/>
          <w:kern w:val="2"/>
          <w:sz w:val="32"/>
          <w:szCs w:val="24"/>
          <w:lang w:val="en-US" w:eastAsia="zh-CN" w:bidi="ar-SA"/>
        </w:rPr>
        <w:t>，</w:t>
      </w:r>
      <w:r>
        <w:rPr>
          <w:rFonts w:hint="eastAsia"/>
          <w:lang w:val="en-US" w:eastAsia="zh-CN"/>
        </w:rPr>
        <w:t>实际交货时间与计划交货时间一致，但验收时间滞后</w:t>
      </w:r>
      <w:r>
        <w:rPr>
          <w:rFonts w:hint="eastAsia"/>
        </w:rPr>
        <w:t>。综上所述，本项扣2.5分。</w:t>
      </w:r>
    </w:p>
    <w:p>
      <w:pPr>
        <w:ind w:firstLine="643"/>
        <w:rPr>
          <w:rFonts w:hint="eastAsia" w:ascii="Times New Roman" w:hAnsi="Times New Roman"/>
          <w:highlight w:val="none"/>
        </w:rPr>
      </w:pPr>
      <w:r>
        <w:rPr>
          <w:rFonts w:hint="eastAsia"/>
          <w:b/>
          <w:bCs/>
          <w:highlight w:val="none"/>
          <w:lang w:val="en-US" w:eastAsia="zh-CN"/>
        </w:rPr>
        <w:t>4</w:t>
      </w:r>
      <w:r>
        <w:rPr>
          <w:rFonts w:hint="eastAsia" w:ascii="Times New Roman" w:hAnsi="Times New Roman"/>
          <w:b/>
          <w:bCs/>
          <w:highlight w:val="none"/>
        </w:rPr>
        <w:t>.</w:t>
      </w:r>
      <w:r>
        <w:rPr>
          <w:rFonts w:hint="eastAsia"/>
          <w:lang w:val="en-US" w:eastAsia="zh-CN"/>
        </w:rPr>
        <w:t>产出成本</w:t>
      </w:r>
    </w:p>
    <w:p>
      <w:pPr>
        <w:ind w:firstLine="640"/>
        <w:rPr>
          <w:color w:val="FF0000"/>
        </w:rPr>
      </w:pPr>
      <w:r>
        <w:t>本指标包含</w:t>
      </w:r>
      <w:r>
        <w:rPr>
          <w:rFonts w:hint="eastAsia"/>
          <w:lang w:val="en-US" w:eastAsia="zh-CN"/>
        </w:rPr>
        <w:t>成本节约率1</w:t>
      </w:r>
      <w:r>
        <w:t>个三级指标，指标满分</w:t>
      </w:r>
      <w:r>
        <w:rPr>
          <w:rFonts w:hint="eastAsia"/>
          <w:lang w:val="en-US" w:eastAsia="zh-CN"/>
        </w:rPr>
        <w:t>5</w:t>
      </w:r>
      <w:r>
        <w:t>分，评价得分</w:t>
      </w:r>
      <w:r>
        <w:rPr>
          <w:rFonts w:hint="eastAsia"/>
          <w:lang w:val="en-US" w:eastAsia="zh-CN"/>
        </w:rPr>
        <w:t>3</w:t>
      </w:r>
      <w:r>
        <w:t>分，得分率</w:t>
      </w:r>
      <w:r>
        <w:rPr>
          <w:rFonts w:hint="eastAsia"/>
          <w:lang w:val="en-US" w:eastAsia="zh-CN"/>
        </w:rPr>
        <w:t>60</w:t>
      </w:r>
      <w:r>
        <w:t>%。</w:t>
      </w:r>
    </w:p>
    <w:p>
      <w:pPr>
        <w:ind w:firstLine="640"/>
        <w:rPr>
          <w:rFonts w:ascii="Times New Roman" w:hAnsi="Times New Roman"/>
          <w:highlight w:val="none"/>
        </w:rPr>
      </w:pPr>
      <w:r>
        <w:rPr>
          <w:rFonts w:hint="eastAsia" w:ascii="Times New Roman" w:hAnsi="Times New Roman"/>
          <w:highlight w:val="none"/>
        </w:rPr>
        <w:t>1）成本节约率</w:t>
      </w:r>
    </w:p>
    <w:p>
      <w:pPr>
        <w:ind w:firstLine="640"/>
        <w:rPr>
          <w:rFonts w:hint="eastAsia" w:ascii="Times New Roman" w:hAnsi="Times New Roman"/>
          <w:highlight w:val="none"/>
        </w:rPr>
      </w:pPr>
      <w:r>
        <w:rPr>
          <w:rFonts w:hint="eastAsia" w:ascii="Times New Roman" w:hAnsi="Times New Roman"/>
          <w:highlight w:val="none"/>
        </w:rPr>
        <w:t>该指标主要考察项目完成项目计划工作目标的实际节约成本与计划成本的比率，用以反映和考核项目的成本节约程度。指标满分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3</w:t>
      </w:r>
      <w:r>
        <w:rPr>
          <w:rFonts w:hint="eastAsia" w:ascii="Times New Roman" w:hAnsi="Times New Roman"/>
          <w:highlight w:val="none"/>
        </w:rPr>
        <w:t>分，得分率</w:t>
      </w:r>
      <w:r>
        <w:rPr>
          <w:rFonts w:hint="eastAsia"/>
          <w:highlight w:val="none"/>
          <w:lang w:val="en-US" w:eastAsia="zh-CN"/>
        </w:rPr>
        <w:t>60</w:t>
      </w:r>
      <w:r>
        <w:rPr>
          <w:rFonts w:hint="eastAsia" w:ascii="Times New Roman" w:hAnsi="Times New Roman"/>
          <w:highlight w:val="none"/>
        </w:rPr>
        <w:t>%。</w:t>
      </w:r>
    </w:p>
    <w:p>
      <w:pPr>
        <w:ind w:firstLine="640"/>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本项目经潮安区人民政府研究并批复，预算资金为1359万元；根据《询价报告书》，经过三方询价后，本项目的招标控制价为1356.28万元；根据采购合同书，本项目分两批次进行采购，采购金额为1355.85万元，项目合同价严格控制在预算批复金额和招标控制价内。</w:t>
      </w:r>
    </w:p>
    <w:p>
      <w:pPr>
        <w:pStyle w:val="13"/>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highlight w:val="none"/>
        </w:rPr>
      </w:pPr>
      <w:r>
        <w:rPr>
          <w:rFonts w:hint="eastAsia" w:ascii="Times New Roman" w:hAnsi="Times New Roman"/>
          <w:highlight w:val="none"/>
        </w:rPr>
        <w:t>但存在的问题是</w:t>
      </w:r>
      <w:r>
        <w:rPr>
          <w:rFonts w:hint="eastAsia" w:ascii="Times New Roman" w:hAnsi="Times New Roman" w:eastAsia="仿宋_GB2312" w:cs="Times New Roman"/>
          <w:b w:val="0"/>
          <w:bCs w:val="0"/>
          <w:kern w:val="2"/>
          <w:sz w:val="32"/>
          <w:szCs w:val="24"/>
          <w:highlight w:val="none"/>
          <w:lang w:val="en-US" w:eastAsia="zh-CN" w:bidi="ar-SA"/>
        </w:rPr>
        <w:t>根据《询价报告书》</w:t>
      </w:r>
      <w:r>
        <w:rPr>
          <w:rFonts w:hint="eastAsia" w:ascii="Times New Roman" w:hAnsi="Times New Roman"/>
          <w:highlight w:val="none"/>
        </w:rPr>
        <w:t>，部分物资价格偏高，例如医用防护口罩（N95）单价为14元，</w:t>
      </w:r>
      <w:r>
        <w:rPr>
          <w:rFonts w:hint="eastAsia"/>
          <w:highlight w:val="none"/>
          <w:lang w:val="en-US" w:eastAsia="zh-CN"/>
        </w:rPr>
        <w:t>对比</w:t>
      </w:r>
      <w:r>
        <w:rPr>
          <w:rFonts w:hint="eastAsia" w:ascii="Times New Roman" w:hAnsi="Times New Roman" w:cs="Times New Roman"/>
          <w:color w:val="000000"/>
          <w:kern w:val="0"/>
          <w:sz w:val="32"/>
          <w:szCs w:val="32"/>
          <w:lang w:val="en-US" w:eastAsia="zh-CN"/>
        </w:rPr>
        <w:t>2021年</w:t>
      </w:r>
      <w:r>
        <w:rPr>
          <w:rFonts w:hint="eastAsia" w:ascii="Times New Roman" w:hAnsi="Times New Roman" w:eastAsia="仿宋_GB2312" w:cs="Times New Roman"/>
          <w:color w:val="000000"/>
          <w:kern w:val="0"/>
          <w:sz w:val="32"/>
          <w:szCs w:val="32"/>
          <w:lang w:val="en-US" w:eastAsia="zh-CN"/>
        </w:rPr>
        <w:t>同期市场价</w:t>
      </w:r>
      <w:r>
        <w:rPr>
          <w:rFonts w:hint="eastAsia" w:ascii="Times New Roman" w:hAnsi="Times New Roman" w:cs="Times New Roman"/>
          <w:color w:val="000000"/>
          <w:kern w:val="0"/>
          <w:sz w:val="32"/>
          <w:szCs w:val="32"/>
          <w:lang w:val="en-US" w:eastAsia="zh-CN"/>
        </w:rPr>
        <w:t>，</w:t>
      </w:r>
      <w:r>
        <w:rPr>
          <w:rFonts w:hint="eastAsia" w:ascii="Times New Roman" w:hAnsi="Times New Roman"/>
          <w:highlight w:val="none"/>
        </w:rPr>
        <w:t>医用防护口罩（N95）单价为</w:t>
      </w:r>
      <w:r>
        <w:rPr>
          <w:rFonts w:hint="eastAsia" w:ascii="Times New Roman" w:hAnsi="Times New Roman"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val="en-US" w:eastAsia="zh-CN"/>
        </w:rPr>
        <w:t>元左右，询价高于市场价</w:t>
      </w:r>
      <w:r>
        <w:rPr>
          <w:rFonts w:hint="eastAsia" w:ascii="Times New Roman" w:hAnsi="Times New Roman" w:cs="Times New Roman"/>
          <w:color w:val="000000"/>
          <w:kern w:val="0"/>
          <w:sz w:val="32"/>
          <w:szCs w:val="32"/>
          <w:lang w:val="en-US" w:eastAsia="zh-CN"/>
        </w:rPr>
        <w:t>，</w:t>
      </w:r>
      <w:r>
        <w:rPr>
          <w:rFonts w:hint="eastAsia" w:ascii="Times New Roman" w:hAnsi="Times New Roman"/>
          <w:highlight w:val="none"/>
        </w:rPr>
        <w:t>与市场价格不符</w:t>
      </w:r>
      <w:r>
        <w:rPr>
          <w:rFonts w:hint="eastAsia" w:ascii="Times New Roman" w:hAnsi="Times New Roman"/>
          <w:highlight w:val="none"/>
          <w:lang w:eastAsia="zh-CN"/>
        </w:rPr>
        <w:t>，</w:t>
      </w:r>
      <w:r>
        <w:rPr>
          <w:rFonts w:hint="eastAsia"/>
          <w:lang w:val="en-US" w:eastAsia="zh-CN"/>
        </w:rPr>
        <w:t>项目成本控制不当</w:t>
      </w:r>
      <w:r>
        <w:rPr>
          <w:rFonts w:hint="eastAsia" w:ascii="Times New Roman" w:hAnsi="Times New Roman"/>
          <w:highlight w:val="none"/>
        </w:rPr>
        <w:t>。</w:t>
      </w:r>
    </w:p>
    <w:p>
      <w:pPr>
        <w:ind w:firstLine="640"/>
        <w:rPr>
          <w:rFonts w:hint="eastAsia" w:ascii="Times New Roman" w:hAnsi="Times New Roman" w:eastAsia="仿宋_GB2312" w:cs="Times New Roman"/>
          <w:b w:val="0"/>
          <w:bCs w:val="0"/>
          <w:kern w:val="2"/>
          <w:sz w:val="32"/>
          <w:szCs w:val="24"/>
          <w:highlight w:val="none"/>
          <w:lang w:val="en-US" w:eastAsia="zh-CN" w:bidi="ar-SA"/>
        </w:rPr>
      </w:pPr>
      <w:r>
        <w:rPr>
          <w:rFonts w:hint="eastAsia" w:cs="Times New Roman"/>
          <w:b w:val="0"/>
          <w:bCs w:val="0"/>
          <w:kern w:val="2"/>
          <w:sz w:val="32"/>
          <w:szCs w:val="24"/>
          <w:highlight w:val="none"/>
          <w:lang w:val="en-US" w:eastAsia="zh-CN" w:bidi="ar-SA"/>
        </w:rPr>
        <w:t>综上所述，</w:t>
      </w:r>
      <w:r>
        <w:rPr>
          <w:rFonts w:hint="eastAsia" w:ascii="Times New Roman" w:hAnsi="Times New Roman" w:eastAsia="仿宋_GB2312" w:cs="Times New Roman"/>
          <w:b w:val="0"/>
          <w:bCs w:val="0"/>
          <w:kern w:val="2"/>
          <w:sz w:val="32"/>
          <w:szCs w:val="24"/>
          <w:highlight w:val="none"/>
          <w:lang w:val="en-US" w:eastAsia="zh-CN" w:bidi="ar-SA"/>
        </w:rPr>
        <w:t>因此本项</w:t>
      </w:r>
      <w:r>
        <w:rPr>
          <w:rFonts w:hint="eastAsia" w:cs="Times New Roman"/>
          <w:b w:val="0"/>
          <w:bCs w:val="0"/>
          <w:kern w:val="2"/>
          <w:sz w:val="32"/>
          <w:szCs w:val="24"/>
          <w:highlight w:val="none"/>
          <w:lang w:val="en-US" w:eastAsia="zh-CN" w:bidi="ar-SA"/>
        </w:rPr>
        <w:t>扣2</w:t>
      </w:r>
      <w:r>
        <w:rPr>
          <w:rFonts w:hint="eastAsia" w:ascii="Times New Roman" w:hAnsi="Times New Roman" w:eastAsia="仿宋_GB2312" w:cs="Times New Roman"/>
          <w:b w:val="0"/>
          <w:bCs w:val="0"/>
          <w:kern w:val="2"/>
          <w:sz w:val="32"/>
          <w:szCs w:val="24"/>
          <w:highlight w:val="none"/>
          <w:lang w:val="en-US" w:eastAsia="zh-CN" w:bidi="ar-SA"/>
        </w:rPr>
        <w:t>分。</w:t>
      </w:r>
    </w:p>
    <w:p>
      <w:pPr>
        <w:pStyle w:val="3"/>
        <w:spacing w:before="156" w:after="156"/>
        <w:ind w:firstLine="643"/>
        <w:rPr>
          <w:rFonts w:hint="eastAsia" w:ascii="Times New Roman" w:hAnsi="Times New Roman" w:eastAsia="楷体_GB2312"/>
          <w:highlight w:val="none"/>
          <w:lang w:eastAsia="zh-CN"/>
        </w:rPr>
      </w:pPr>
      <w:bookmarkStart w:id="18" w:name="_Toc14029"/>
      <w:r>
        <w:rPr>
          <w:rFonts w:ascii="Times New Roman" w:hAnsi="Times New Roman"/>
          <w:highlight w:val="none"/>
        </w:rPr>
        <w:t>（</w:t>
      </w:r>
      <w:r>
        <w:rPr>
          <w:rFonts w:hint="eastAsia" w:ascii="Times New Roman" w:hAnsi="Times New Roman"/>
          <w:highlight w:val="none"/>
          <w:lang w:val="en-US" w:eastAsia="zh-CN"/>
        </w:rPr>
        <w:t>四</w:t>
      </w:r>
      <w:r>
        <w:rPr>
          <w:rFonts w:ascii="Times New Roman" w:hAnsi="Times New Roman"/>
          <w:highlight w:val="none"/>
        </w:rPr>
        <w:t>）项目</w:t>
      </w:r>
      <w:r>
        <w:rPr>
          <w:rFonts w:hint="eastAsia" w:ascii="Times New Roman" w:hAnsi="Times New Roman"/>
          <w:highlight w:val="none"/>
          <w:lang w:val="en-US" w:eastAsia="zh-CN"/>
        </w:rPr>
        <w:t>效益</w:t>
      </w:r>
      <w:bookmarkEnd w:id="18"/>
    </w:p>
    <w:p>
      <w:pPr>
        <w:adjustRightInd w:val="0"/>
        <w:ind w:firstLine="640"/>
        <w:rPr>
          <w:rFonts w:hint="eastAsia"/>
        </w:rPr>
      </w:pPr>
      <w:r>
        <w:rPr>
          <w:rFonts w:hint="eastAsia"/>
        </w:rPr>
        <w:t>本指标包含</w:t>
      </w:r>
      <w:r>
        <w:rPr>
          <w:rFonts w:hint="eastAsia"/>
          <w:lang w:val="en-US" w:eastAsia="zh-CN"/>
        </w:rPr>
        <w:t>社会效益1</w:t>
      </w:r>
      <w:r>
        <w:rPr>
          <w:rFonts w:hint="eastAsia"/>
        </w:rPr>
        <w:t>个二级指标。指标满分</w:t>
      </w:r>
      <w:r>
        <w:rPr>
          <w:rFonts w:hint="eastAsia"/>
          <w:lang w:val="en-US" w:eastAsia="zh-CN"/>
        </w:rPr>
        <w:t>25</w:t>
      </w:r>
      <w:r>
        <w:rPr>
          <w:rFonts w:hint="eastAsia"/>
        </w:rPr>
        <w:t>分，评价得分</w:t>
      </w:r>
      <w:r>
        <w:rPr>
          <w:rFonts w:hint="eastAsia"/>
          <w:lang w:val="en-US" w:eastAsia="zh-CN"/>
        </w:rPr>
        <w:t>25</w:t>
      </w:r>
      <w:r>
        <w:rPr>
          <w:rFonts w:hint="eastAsia"/>
        </w:rPr>
        <w:t>分，得分率为</w:t>
      </w:r>
      <w:r>
        <w:rPr>
          <w:rFonts w:hint="eastAsia"/>
          <w:lang w:val="en-US" w:eastAsia="zh-CN"/>
        </w:rPr>
        <w:t>100</w:t>
      </w:r>
      <w:r>
        <w:rPr>
          <w:rFonts w:hint="eastAsia"/>
        </w:rPr>
        <w:t>%。</w:t>
      </w:r>
    </w:p>
    <w:p>
      <w:pPr>
        <w:ind w:firstLine="640"/>
        <w:rPr>
          <w:rFonts w:ascii="Times New Roman" w:hAnsi="Times New Roman"/>
          <w:b/>
          <w:bCs/>
          <w:highlight w:val="none"/>
        </w:rPr>
      </w:pPr>
      <w:r>
        <w:rPr>
          <w:rFonts w:hint="eastAsia"/>
          <w:b/>
          <w:bCs/>
          <w:highlight w:val="none"/>
          <w:lang w:val="en-US" w:eastAsia="zh-CN"/>
        </w:rPr>
        <w:t>1</w:t>
      </w:r>
      <w:r>
        <w:rPr>
          <w:rFonts w:hint="eastAsia" w:ascii="Times New Roman" w:hAnsi="Times New Roman"/>
          <w:b/>
          <w:bCs/>
          <w:highlight w:val="none"/>
          <w:lang w:val="en-US" w:eastAsia="zh-CN"/>
        </w:rPr>
        <w:t>.</w:t>
      </w:r>
      <w:r>
        <w:rPr>
          <w:rFonts w:hint="eastAsia"/>
          <w:b/>
          <w:bCs/>
          <w:highlight w:val="none"/>
          <w:lang w:val="en-US" w:eastAsia="zh-CN"/>
        </w:rPr>
        <w:t>社会</w:t>
      </w:r>
      <w:r>
        <w:rPr>
          <w:rFonts w:hint="eastAsia" w:ascii="Times New Roman" w:hAnsi="Times New Roman"/>
          <w:b/>
          <w:bCs/>
          <w:highlight w:val="none"/>
        </w:rPr>
        <w:t>效益</w:t>
      </w:r>
    </w:p>
    <w:p>
      <w:pPr>
        <w:ind w:firstLine="640"/>
        <w:rPr>
          <w:color w:val="FF0000"/>
        </w:rPr>
      </w:pPr>
      <w:r>
        <w:t>本指标包含</w:t>
      </w:r>
      <w:r>
        <w:rPr>
          <w:rFonts w:hint="eastAsia"/>
          <w:lang w:val="en-US" w:eastAsia="zh-CN"/>
        </w:rPr>
        <w:t>提升应急救援能力、保障应急物资供应能力2</w:t>
      </w:r>
      <w:r>
        <w:t>个三级指标，指标满分</w:t>
      </w:r>
      <w:r>
        <w:rPr>
          <w:rFonts w:hint="eastAsia"/>
          <w:lang w:val="en-US" w:eastAsia="zh-CN"/>
        </w:rPr>
        <w:t>25</w:t>
      </w:r>
      <w:r>
        <w:t>分，评价得分</w:t>
      </w:r>
      <w:r>
        <w:rPr>
          <w:rFonts w:hint="eastAsia"/>
          <w:lang w:val="en-US" w:eastAsia="zh-CN"/>
        </w:rPr>
        <w:t>25</w:t>
      </w:r>
      <w:r>
        <w:t>分，得分率</w:t>
      </w:r>
      <w:r>
        <w:rPr>
          <w:rFonts w:hint="eastAsia"/>
          <w:lang w:val="en-US" w:eastAsia="zh-CN"/>
        </w:rPr>
        <w:t>100</w:t>
      </w:r>
      <w:r>
        <w:t>%。</w:t>
      </w:r>
    </w:p>
    <w:p>
      <w:pPr>
        <w:ind w:firstLine="640"/>
        <w:rPr>
          <w:rFonts w:hint="eastAsia" w:ascii="Times New Roman" w:hAnsi="Times New Roman"/>
          <w:highlight w:val="none"/>
        </w:rPr>
      </w:pPr>
      <w:r>
        <w:rPr>
          <w:rFonts w:hint="eastAsia" w:ascii="Times New Roman" w:hAnsi="Times New Roman"/>
          <w:highlight w:val="none"/>
        </w:rPr>
        <w:t>1）</w:t>
      </w:r>
      <w:r>
        <w:rPr>
          <w:rFonts w:hint="eastAsia"/>
          <w:lang w:val="en-US" w:eastAsia="zh-CN"/>
        </w:rPr>
        <w:t>提升应急救援能力</w:t>
      </w:r>
    </w:p>
    <w:p>
      <w:pPr>
        <w:ind w:firstLine="640"/>
        <w:rPr>
          <w:rFonts w:hint="eastAsia" w:ascii="Times New Roman" w:hAnsi="Times New Roman"/>
          <w:color w:val="auto"/>
          <w:highlight w:val="none"/>
        </w:rPr>
      </w:pPr>
      <w:r>
        <w:rPr>
          <w:rFonts w:hint="eastAsia" w:ascii="Times New Roman" w:hAnsi="Times New Roman"/>
          <w:highlight w:val="none"/>
        </w:rPr>
        <w:t>该</w:t>
      </w:r>
      <w:r>
        <w:rPr>
          <w:rFonts w:hint="eastAsia" w:ascii="Times New Roman" w:hAnsi="Times New Roman"/>
          <w:color w:val="auto"/>
          <w:highlight w:val="none"/>
        </w:rPr>
        <w:t>指标主要考察</w:t>
      </w:r>
      <w:r>
        <w:rPr>
          <w:rFonts w:hint="eastAsia"/>
          <w:color w:val="auto"/>
          <w:highlight w:val="none"/>
          <w:lang w:val="en-US" w:eastAsia="zh-CN"/>
        </w:rPr>
        <w:t>采购</w:t>
      </w:r>
      <w:r>
        <w:rPr>
          <w:rFonts w:hint="eastAsia"/>
        </w:rPr>
        <w:t>公共卫生应急物资</w:t>
      </w:r>
      <w:r>
        <w:rPr>
          <w:rFonts w:hint="eastAsia"/>
          <w:lang w:val="en-US" w:eastAsia="zh-CN"/>
        </w:rPr>
        <w:t>对提升区域应急救援能力的作用情况</w:t>
      </w:r>
      <w:r>
        <w:rPr>
          <w:rFonts w:hint="eastAsia"/>
          <w:color w:val="auto"/>
          <w:highlight w:val="none"/>
          <w:lang w:eastAsia="zh-CN"/>
        </w:rPr>
        <w:t>。</w:t>
      </w:r>
      <w:r>
        <w:rPr>
          <w:rFonts w:hint="eastAsia" w:ascii="Times New Roman" w:hAnsi="Times New Roman"/>
          <w:color w:val="auto"/>
          <w:highlight w:val="none"/>
        </w:rPr>
        <w:t>指标满分</w:t>
      </w:r>
      <w:r>
        <w:rPr>
          <w:rFonts w:hint="eastAsia"/>
          <w:color w:val="auto"/>
          <w:highlight w:val="none"/>
          <w:lang w:val="en-US" w:eastAsia="zh-CN"/>
        </w:rPr>
        <w:t>10</w:t>
      </w:r>
      <w:r>
        <w:rPr>
          <w:rFonts w:hint="eastAsia" w:ascii="Times New Roman" w:hAnsi="Times New Roman"/>
          <w:color w:val="auto"/>
          <w:highlight w:val="none"/>
        </w:rPr>
        <w:t>分，评价得分</w:t>
      </w:r>
      <w:r>
        <w:rPr>
          <w:rFonts w:hint="eastAsia"/>
          <w:color w:val="auto"/>
          <w:highlight w:val="none"/>
          <w:lang w:val="en-US" w:eastAsia="zh-CN"/>
        </w:rPr>
        <w:t>10</w:t>
      </w:r>
      <w:r>
        <w:rPr>
          <w:rFonts w:hint="eastAsia" w:ascii="Times New Roman" w:hAnsi="Times New Roman"/>
          <w:color w:val="auto"/>
          <w:highlight w:val="none"/>
        </w:rPr>
        <w:t>分，得分率</w:t>
      </w:r>
      <w:r>
        <w:rPr>
          <w:rFonts w:hint="eastAsia"/>
          <w:color w:val="auto"/>
          <w:highlight w:val="none"/>
          <w:lang w:val="en-US" w:eastAsia="zh-CN"/>
        </w:rPr>
        <w:t>100</w:t>
      </w:r>
      <w:r>
        <w:rPr>
          <w:rFonts w:hint="eastAsia" w:ascii="Times New Roman" w:hAnsi="Times New Roman"/>
          <w:color w:val="auto"/>
          <w:highlight w:val="none"/>
        </w:rPr>
        <w:t>%。</w:t>
      </w:r>
    </w:p>
    <w:p>
      <w:pPr>
        <w:pStyle w:val="13"/>
        <w:keepNext w:val="0"/>
        <w:keepLines w:val="0"/>
        <w:pageBreakBefore w:val="0"/>
        <w:widowControl w:val="0"/>
        <w:kinsoku/>
        <w:wordWrap/>
        <w:overflowPunct/>
        <w:topLinePunct w:val="0"/>
        <w:autoSpaceDE/>
        <w:autoSpaceDN/>
        <w:bidi w:val="0"/>
        <w:adjustRightInd/>
        <w:snapToGrid/>
        <w:ind w:left="0" w:leftChars="0"/>
        <w:textAlignment w:val="auto"/>
      </w:pPr>
      <w:r>
        <w:rPr>
          <w:rFonts w:hint="eastAsia"/>
        </w:rPr>
        <w:t>通过加强公共卫生应急物资储备建设，采购物资类型包括防护物资、消毒药剂、消毒器械、采样耗材、样品运输、医疗垃圾等方面共储备</w:t>
      </w:r>
      <w:r>
        <w:rPr>
          <w:rFonts w:hint="eastAsia"/>
          <w:lang w:val="en-US" w:eastAsia="zh-CN"/>
        </w:rPr>
        <w:t>29</w:t>
      </w:r>
      <w:r>
        <w:rPr>
          <w:rFonts w:hint="eastAsia"/>
        </w:rPr>
        <w:t>个品种，充实完善专用应急物资储备的品种规模，确保关键时刻能够拿得出、调得快、用得上。因此本项得满分。</w:t>
      </w:r>
    </w:p>
    <w:p>
      <w:pPr>
        <w:ind w:firstLine="640"/>
        <w:rPr>
          <w:rFonts w:hint="eastAsia" w:ascii="Times New Roman" w:hAnsi="Times New Roman"/>
          <w:highlight w:val="none"/>
        </w:rPr>
      </w:pPr>
      <w:r>
        <w:rPr>
          <w:rFonts w:hint="eastAsia"/>
          <w:highlight w:val="none"/>
          <w:lang w:val="en-US" w:eastAsia="zh-CN"/>
        </w:rPr>
        <w:t>2</w:t>
      </w:r>
      <w:r>
        <w:rPr>
          <w:rFonts w:hint="eastAsia" w:ascii="Times New Roman" w:hAnsi="Times New Roman"/>
          <w:highlight w:val="none"/>
        </w:rPr>
        <w:t>）</w:t>
      </w:r>
      <w:r>
        <w:rPr>
          <w:rFonts w:hint="eastAsia"/>
          <w:lang w:val="en-US" w:eastAsia="zh-CN"/>
        </w:rPr>
        <w:t>保障应急物资供应能力</w:t>
      </w:r>
    </w:p>
    <w:p>
      <w:pPr>
        <w:ind w:firstLine="640"/>
        <w:rPr>
          <w:rFonts w:ascii="Times New Roman" w:hAnsi="Times New Roman"/>
          <w:color w:val="auto"/>
          <w:highlight w:val="none"/>
        </w:rPr>
      </w:pPr>
      <w:r>
        <w:rPr>
          <w:rFonts w:hint="eastAsia" w:ascii="Times New Roman" w:hAnsi="Times New Roman"/>
          <w:highlight w:val="none"/>
        </w:rPr>
        <w:t>该</w:t>
      </w:r>
      <w:r>
        <w:rPr>
          <w:rFonts w:hint="eastAsia" w:ascii="Times New Roman" w:hAnsi="Times New Roman"/>
          <w:color w:val="auto"/>
          <w:highlight w:val="none"/>
        </w:rPr>
        <w:t>指标主要考察</w:t>
      </w:r>
      <w:r>
        <w:rPr>
          <w:rFonts w:hint="eastAsia"/>
          <w:lang w:val="en-US" w:eastAsia="zh-CN"/>
        </w:rPr>
        <w:t>项目实施对区域应急物资供应能力作用情况</w:t>
      </w:r>
      <w:r>
        <w:rPr>
          <w:rFonts w:hint="eastAsia"/>
          <w:color w:val="auto"/>
          <w:highlight w:val="none"/>
          <w:lang w:eastAsia="zh-CN"/>
        </w:rPr>
        <w:t>。</w:t>
      </w:r>
      <w:r>
        <w:rPr>
          <w:rFonts w:hint="eastAsia" w:ascii="Times New Roman" w:hAnsi="Times New Roman"/>
          <w:color w:val="auto"/>
          <w:highlight w:val="none"/>
        </w:rPr>
        <w:t>指标满分</w:t>
      </w:r>
      <w:r>
        <w:rPr>
          <w:rFonts w:hint="eastAsia"/>
          <w:color w:val="auto"/>
          <w:highlight w:val="none"/>
          <w:lang w:val="en-US" w:eastAsia="zh-CN"/>
        </w:rPr>
        <w:t>10</w:t>
      </w:r>
      <w:r>
        <w:rPr>
          <w:rFonts w:hint="eastAsia" w:ascii="Times New Roman" w:hAnsi="Times New Roman"/>
          <w:color w:val="auto"/>
          <w:highlight w:val="none"/>
        </w:rPr>
        <w:t>分，评价得分</w:t>
      </w:r>
      <w:r>
        <w:rPr>
          <w:rFonts w:hint="eastAsia"/>
          <w:color w:val="auto"/>
          <w:highlight w:val="none"/>
          <w:lang w:val="en-US" w:eastAsia="zh-CN"/>
        </w:rPr>
        <w:t>10</w:t>
      </w:r>
      <w:r>
        <w:rPr>
          <w:rFonts w:hint="eastAsia" w:ascii="Times New Roman" w:hAnsi="Times New Roman"/>
          <w:color w:val="auto"/>
          <w:highlight w:val="none"/>
        </w:rPr>
        <w:t>分，得分率</w:t>
      </w:r>
      <w:r>
        <w:rPr>
          <w:rFonts w:hint="eastAsia"/>
          <w:color w:val="auto"/>
          <w:highlight w:val="none"/>
          <w:lang w:val="en-US" w:eastAsia="zh-CN"/>
        </w:rPr>
        <w:t>100</w:t>
      </w:r>
      <w:r>
        <w:rPr>
          <w:rFonts w:hint="eastAsia" w:ascii="Times New Roman" w:hAnsi="Times New Roman"/>
          <w:color w:val="auto"/>
          <w:highlight w:val="none"/>
        </w:rPr>
        <w:t>%。</w:t>
      </w:r>
    </w:p>
    <w:p>
      <w:pPr>
        <w:ind w:firstLine="640"/>
        <w:rPr>
          <w:rFonts w:hint="eastAsia" w:ascii="Times New Roman" w:hAnsi="Times New Roman"/>
          <w:highlight w:val="none"/>
        </w:rPr>
      </w:pPr>
      <w:r>
        <w:rPr>
          <w:rFonts w:hint="eastAsia" w:ascii="Times New Roman" w:hAnsi="Times New Roman"/>
          <w:highlight w:val="none"/>
        </w:rPr>
        <w:t>项目单位通过健全应急物资领用制度，建立了《潮安区级应急物资储备调拨使用管理工作制度》，与项目单位访谈了解到，每当有单位申请领取应急物资，项目单位都会第一时间与仓库联系调配，如若遇到紧急调拨时，项目单位通过微信、粤政易等通知调拨出库，事后按规定程序补办手续，保障应急物资供应及时可靠。</w:t>
      </w:r>
    </w:p>
    <w:p>
      <w:pPr>
        <w:ind w:firstLine="640"/>
        <w:rPr>
          <w:rFonts w:hint="eastAsia" w:ascii="Times New Roman" w:hAnsi="Times New Roman"/>
          <w:highlight w:val="none"/>
        </w:rPr>
      </w:pPr>
      <w:r>
        <w:rPr>
          <w:rFonts w:hint="eastAsia"/>
          <w:highlight w:val="none"/>
          <w:lang w:val="en-US" w:eastAsia="zh-CN"/>
        </w:rPr>
        <w:t>3</w:t>
      </w:r>
      <w:r>
        <w:rPr>
          <w:rFonts w:hint="eastAsia" w:ascii="Times New Roman" w:hAnsi="Times New Roman"/>
          <w:highlight w:val="none"/>
        </w:rPr>
        <w:t>）</w:t>
      </w:r>
      <w:r>
        <w:rPr>
          <w:rFonts w:hint="eastAsia"/>
          <w:lang w:val="en-US" w:eastAsia="zh-CN"/>
        </w:rPr>
        <w:t>减少疫情带来的负面影响</w:t>
      </w:r>
    </w:p>
    <w:p>
      <w:pPr>
        <w:ind w:firstLine="640"/>
        <w:rPr>
          <w:rFonts w:ascii="Times New Roman" w:hAnsi="Times New Roman"/>
          <w:color w:val="auto"/>
          <w:highlight w:val="none"/>
        </w:rPr>
      </w:pPr>
      <w:r>
        <w:rPr>
          <w:rFonts w:hint="eastAsia" w:ascii="Times New Roman" w:hAnsi="Times New Roman"/>
          <w:highlight w:val="none"/>
        </w:rPr>
        <w:t>该指标主要从</w:t>
      </w:r>
      <w:r>
        <w:rPr>
          <w:rFonts w:hint="eastAsia"/>
          <w:lang w:val="en-US" w:eastAsia="zh-CN"/>
        </w:rPr>
        <w:t>减少疫情带来的负面影响</w:t>
      </w:r>
      <w:r>
        <w:rPr>
          <w:rFonts w:hint="eastAsia" w:ascii="Times New Roman" w:hAnsi="Times New Roman"/>
          <w:color w:val="auto"/>
          <w:highlight w:val="none"/>
        </w:rPr>
        <w:t>方面分析项目可持续发展性。指标满分</w:t>
      </w:r>
      <w:r>
        <w:rPr>
          <w:rFonts w:hint="eastAsia"/>
          <w:color w:val="auto"/>
          <w:highlight w:val="none"/>
          <w:lang w:val="en-US" w:eastAsia="zh-CN"/>
        </w:rPr>
        <w:t>5</w:t>
      </w:r>
      <w:r>
        <w:rPr>
          <w:rFonts w:hint="eastAsia" w:ascii="Times New Roman" w:hAnsi="Times New Roman"/>
          <w:color w:val="auto"/>
          <w:highlight w:val="none"/>
        </w:rPr>
        <w:t>分，评价得分</w:t>
      </w:r>
      <w:r>
        <w:rPr>
          <w:rFonts w:hint="eastAsia"/>
          <w:color w:val="auto"/>
          <w:highlight w:val="none"/>
          <w:lang w:val="en-US" w:eastAsia="zh-CN"/>
        </w:rPr>
        <w:t>5</w:t>
      </w:r>
      <w:r>
        <w:rPr>
          <w:rFonts w:hint="eastAsia" w:ascii="Times New Roman" w:hAnsi="Times New Roman"/>
          <w:color w:val="auto"/>
          <w:highlight w:val="none"/>
        </w:rPr>
        <w:t>分，得分率</w:t>
      </w:r>
      <w:r>
        <w:rPr>
          <w:rFonts w:hint="eastAsia"/>
          <w:color w:val="auto"/>
          <w:highlight w:val="none"/>
          <w:lang w:val="en-US" w:eastAsia="zh-CN"/>
        </w:rPr>
        <w:t>100</w:t>
      </w:r>
      <w:r>
        <w:rPr>
          <w:rFonts w:hint="eastAsia" w:ascii="Times New Roman" w:hAnsi="Times New Roman"/>
          <w:color w:val="auto"/>
          <w:highlight w:val="none"/>
        </w:rPr>
        <w:t>%。</w:t>
      </w:r>
    </w:p>
    <w:p>
      <w:pPr>
        <w:pStyle w:val="23"/>
        <w:spacing w:line="560" w:lineRule="exact"/>
        <w:jc w:val="both"/>
        <w:rPr>
          <w:rFonts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截</w:t>
      </w:r>
      <w:r>
        <w:rPr>
          <w:rFonts w:hint="eastAsia" w:ascii="Times New Roman" w:cs="Times New Roman"/>
          <w:b w:val="0"/>
          <w:bCs w:val="0"/>
          <w:kern w:val="2"/>
          <w:sz w:val="32"/>
          <w:szCs w:val="24"/>
          <w:lang w:val="en-US" w:eastAsia="zh-CN" w:bidi="ar-SA"/>
        </w:rPr>
        <w:t>至</w:t>
      </w:r>
      <w:r>
        <w:rPr>
          <w:rFonts w:hint="eastAsia" w:ascii="Times New Roman" w:hAnsi="Times New Roman" w:eastAsia="仿宋_GB2312" w:cs="Times New Roman"/>
          <w:b w:val="0"/>
          <w:bCs w:val="0"/>
          <w:kern w:val="2"/>
          <w:sz w:val="32"/>
          <w:szCs w:val="24"/>
          <w:lang w:val="en-US" w:eastAsia="zh-CN" w:bidi="ar-SA"/>
        </w:rPr>
        <w:t>2023年3月31日，潮安区疫情防控措施管理较好，应急物资储备较充分并供应及时，降低交叉感染风险，筑牢疫情防控坚强防线，保障人民群众的生命安全和身体健康，减少疫情带来的经济损失。因此本项得满分。</w:t>
      </w:r>
    </w:p>
    <w:p>
      <w:pPr>
        <w:pStyle w:val="3"/>
        <w:spacing w:before="156" w:after="156"/>
        <w:ind w:firstLine="643"/>
        <w:rPr>
          <w:rFonts w:hint="eastAsia" w:ascii="Times New Roman" w:hAnsi="Times New Roman" w:eastAsia="楷体_GB2312"/>
          <w:highlight w:val="none"/>
          <w:lang w:eastAsia="zh-CN"/>
        </w:rPr>
      </w:pPr>
      <w:bookmarkStart w:id="19" w:name="_Toc27718"/>
      <w:r>
        <w:rPr>
          <w:rFonts w:ascii="Times New Roman" w:hAnsi="Times New Roman"/>
          <w:highlight w:val="none"/>
        </w:rPr>
        <w:t>（</w:t>
      </w:r>
      <w:r>
        <w:rPr>
          <w:rFonts w:hint="eastAsia" w:ascii="Times New Roman" w:hAnsi="Times New Roman"/>
          <w:highlight w:val="none"/>
          <w:lang w:val="en-US" w:eastAsia="zh-CN"/>
        </w:rPr>
        <w:t>五</w:t>
      </w:r>
      <w:r>
        <w:rPr>
          <w:rFonts w:ascii="Times New Roman" w:hAnsi="Times New Roman"/>
          <w:highlight w:val="none"/>
        </w:rPr>
        <w:t>）</w:t>
      </w:r>
      <w:r>
        <w:rPr>
          <w:rFonts w:hint="eastAsia" w:ascii="Times New Roman" w:hAnsi="Times New Roman"/>
          <w:highlight w:val="none"/>
        </w:rPr>
        <w:t>满意度</w:t>
      </w:r>
      <w:bookmarkEnd w:id="19"/>
    </w:p>
    <w:p>
      <w:pPr>
        <w:adjustRightInd w:val="0"/>
        <w:ind w:firstLine="640"/>
        <w:rPr>
          <w:rFonts w:hint="eastAsia"/>
        </w:rPr>
      </w:pPr>
      <w:r>
        <w:rPr>
          <w:rFonts w:hint="eastAsia"/>
        </w:rPr>
        <w:t>本指标包含</w:t>
      </w:r>
      <w:r>
        <w:rPr>
          <w:rFonts w:hint="eastAsia"/>
          <w:lang w:val="en-US" w:eastAsia="zh-CN"/>
        </w:rPr>
        <w:t>服务对象满意度1</w:t>
      </w:r>
      <w:r>
        <w:rPr>
          <w:rFonts w:hint="eastAsia"/>
        </w:rPr>
        <w:t>个二级指标。指标满分</w:t>
      </w:r>
      <w:r>
        <w:rPr>
          <w:rFonts w:hint="eastAsia"/>
          <w:lang w:val="en-US" w:eastAsia="zh-CN"/>
        </w:rPr>
        <w:t>5</w:t>
      </w:r>
      <w:r>
        <w:rPr>
          <w:rFonts w:hint="eastAsia"/>
        </w:rPr>
        <w:t>分，评价得分</w:t>
      </w:r>
      <w:r>
        <w:rPr>
          <w:rFonts w:hint="eastAsia"/>
          <w:lang w:val="en-US" w:eastAsia="zh-CN"/>
        </w:rPr>
        <w:t>3</w:t>
      </w:r>
      <w:r>
        <w:rPr>
          <w:rFonts w:hint="eastAsia"/>
        </w:rPr>
        <w:t>分，得分率为</w:t>
      </w:r>
      <w:r>
        <w:rPr>
          <w:rFonts w:hint="eastAsia"/>
          <w:lang w:val="en-US" w:eastAsia="zh-CN"/>
        </w:rPr>
        <w:t>60</w:t>
      </w:r>
      <w:r>
        <w:rPr>
          <w:rFonts w:hint="eastAsia"/>
        </w:rPr>
        <w:t>%。</w:t>
      </w:r>
    </w:p>
    <w:p>
      <w:pPr>
        <w:ind w:firstLine="640"/>
        <w:rPr>
          <w:rFonts w:hint="eastAsia" w:ascii="Times New Roman" w:hAnsi="Times New Roman"/>
          <w:highlight w:val="none"/>
        </w:rPr>
      </w:pPr>
      <w:r>
        <w:rPr>
          <w:rFonts w:hint="eastAsia" w:ascii="Times New Roman" w:hAnsi="Times New Roman"/>
          <w:b w:val="0"/>
          <w:bCs w:val="0"/>
          <w:highlight w:val="none"/>
        </w:rPr>
        <w:t>1.</w:t>
      </w:r>
      <w:r>
        <w:rPr>
          <w:rFonts w:hint="eastAsia"/>
          <w:b w:val="0"/>
          <w:bCs w:val="0"/>
          <w:lang w:val="en-US" w:eastAsia="zh-CN"/>
        </w:rPr>
        <w:t>服</w:t>
      </w:r>
      <w:r>
        <w:rPr>
          <w:rFonts w:hint="eastAsia"/>
          <w:lang w:val="en-US" w:eastAsia="zh-CN"/>
        </w:rPr>
        <w:t>务对象满意度</w:t>
      </w:r>
    </w:p>
    <w:p>
      <w:pPr>
        <w:ind w:firstLine="640"/>
        <w:rPr>
          <w:color w:val="FF0000"/>
        </w:rPr>
      </w:pPr>
      <w:r>
        <w:t>本指标包含</w:t>
      </w:r>
      <w:r>
        <w:rPr>
          <w:rFonts w:hint="eastAsia"/>
          <w:lang w:val="en-US" w:eastAsia="zh-CN"/>
        </w:rPr>
        <w:t>领取物资单位满意度1</w:t>
      </w:r>
      <w:r>
        <w:t>个三级指标，指标满分</w:t>
      </w:r>
      <w:r>
        <w:rPr>
          <w:rFonts w:hint="eastAsia"/>
          <w:lang w:val="en-US" w:eastAsia="zh-CN"/>
        </w:rPr>
        <w:t>5</w:t>
      </w:r>
      <w:r>
        <w:t>分，评价得分</w:t>
      </w:r>
      <w:r>
        <w:rPr>
          <w:rFonts w:hint="eastAsia"/>
          <w:lang w:val="en-US" w:eastAsia="zh-CN"/>
        </w:rPr>
        <w:t>3</w:t>
      </w:r>
      <w:r>
        <w:t>分，得分率</w:t>
      </w:r>
      <w:r>
        <w:rPr>
          <w:rFonts w:hint="eastAsia"/>
          <w:lang w:val="en-US" w:eastAsia="zh-CN"/>
        </w:rPr>
        <w:t>60</w:t>
      </w:r>
      <w:r>
        <w:t>%。</w:t>
      </w:r>
    </w:p>
    <w:p>
      <w:pPr>
        <w:ind w:firstLine="640"/>
        <w:rPr>
          <w:rFonts w:ascii="Times New Roman" w:hAnsi="Times New Roman"/>
          <w:highlight w:val="none"/>
        </w:rPr>
      </w:pPr>
      <w:r>
        <w:rPr>
          <w:rFonts w:hint="eastAsia" w:ascii="Times New Roman" w:hAnsi="Times New Roman"/>
          <w:highlight w:val="none"/>
        </w:rPr>
        <w:t>1）</w:t>
      </w:r>
      <w:r>
        <w:rPr>
          <w:rFonts w:hint="eastAsia"/>
          <w:lang w:val="en-US" w:eastAsia="zh-CN"/>
        </w:rPr>
        <w:t>领取物资单位满意</w:t>
      </w:r>
    </w:p>
    <w:p>
      <w:pPr>
        <w:rPr>
          <w:rFonts w:hint="eastAsia" w:ascii="Times New Roman" w:hAnsi="Times New Roman"/>
          <w:highlight w:val="none"/>
        </w:rPr>
      </w:pPr>
      <w:r>
        <w:rPr>
          <w:rFonts w:hint="eastAsia" w:ascii="Times New Roman" w:hAnsi="Times New Roman"/>
          <w:highlight w:val="none"/>
        </w:rPr>
        <w:t>该指标主要考察社会公众或服务对象</w:t>
      </w:r>
      <w:r>
        <w:rPr>
          <w:rFonts w:hint="eastAsia"/>
          <w:highlight w:val="none"/>
          <w:lang w:val="en-US" w:eastAsia="zh-CN"/>
        </w:rPr>
        <w:t>对项目实施的满意度情况</w:t>
      </w:r>
      <w:r>
        <w:rPr>
          <w:rFonts w:hint="eastAsia" w:ascii="Times New Roman" w:hAnsi="Times New Roman"/>
          <w:highlight w:val="none"/>
        </w:rPr>
        <w:t>。指标满分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3</w:t>
      </w:r>
      <w:r>
        <w:rPr>
          <w:rFonts w:hint="eastAsia" w:ascii="Times New Roman" w:hAnsi="Times New Roman"/>
          <w:highlight w:val="none"/>
        </w:rPr>
        <w:t>分，得分率</w:t>
      </w:r>
      <w:r>
        <w:rPr>
          <w:rFonts w:hint="eastAsia"/>
          <w:highlight w:val="none"/>
          <w:lang w:val="en-US" w:eastAsia="zh-CN"/>
        </w:rPr>
        <w:t>60</w:t>
      </w:r>
      <w:r>
        <w:rPr>
          <w:rFonts w:hint="eastAsia" w:ascii="Times New Roman" w:hAnsi="Times New Roman"/>
          <w:highlight w:val="none"/>
        </w:rPr>
        <w:t>%。</w:t>
      </w:r>
    </w:p>
    <w:p>
      <w:pPr>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综合考虑项目完成及效益情况，通过项目的实施，加强潮安区的应急物资保障体系建设，物资供应较为及时，社会效益较好，但项目单位未开展满意度调查，受益对象对项目的满意度缺乏数据支撑，因此本项扣2分。</w:t>
      </w:r>
    </w:p>
    <w:p>
      <w:pPr>
        <w:pStyle w:val="2"/>
        <w:numPr>
          <w:ilvl w:val="0"/>
          <w:numId w:val="1"/>
        </w:numPr>
        <w:spacing w:before="156" w:after="156"/>
        <w:ind w:firstLine="640"/>
        <w:rPr>
          <w:rFonts w:ascii="Times New Roman" w:hAnsi="Times New Roman"/>
          <w:highlight w:val="none"/>
        </w:rPr>
      </w:pPr>
      <w:bookmarkStart w:id="20" w:name="_Toc19168"/>
      <w:bookmarkStart w:id="21" w:name="_Toc9134"/>
      <w:r>
        <w:rPr>
          <w:rFonts w:hint="eastAsia" w:ascii="Times New Roman" w:hAnsi="Times New Roman"/>
          <w:highlight w:val="none"/>
        </w:rPr>
        <w:t>主要绩效与经验做法</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3" w:firstLineChars="200"/>
        <w:textAlignment w:val="auto"/>
        <w:outlineLvl w:val="1"/>
        <w:rPr>
          <w:rFonts w:hint="eastAsia" w:ascii="Times New Roman" w:hAnsi="Times New Roman" w:eastAsia="楷体_GB2312" w:cstheme="majorBidi"/>
          <w:b/>
          <w:bCs/>
          <w:kern w:val="2"/>
          <w:sz w:val="32"/>
          <w:szCs w:val="32"/>
          <w:highlight w:val="none"/>
          <w:lang w:val="en-US" w:eastAsia="zh-CN" w:bidi="ar-SA"/>
        </w:rPr>
      </w:pPr>
      <w:bookmarkStart w:id="22" w:name="_Toc29233"/>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kern w:val="2"/>
          <w:sz w:val="32"/>
          <w:szCs w:val="32"/>
          <w:highlight w:val="none"/>
          <w:lang w:val="en-US" w:eastAsia="zh-CN" w:bidi="ar-SA"/>
        </w:rPr>
        <w:t>应急物资</w:t>
      </w:r>
      <w:r>
        <w:rPr>
          <w:rFonts w:hint="eastAsia" w:ascii="Times New Roman" w:hAnsi="Times New Roman" w:eastAsia="楷体_GB2312" w:cstheme="majorBidi"/>
          <w:b/>
          <w:bCs/>
          <w:kern w:val="2"/>
          <w:sz w:val="32"/>
          <w:szCs w:val="32"/>
          <w:highlight w:val="none"/>
          <w:lang w:val="en-US" w:eastAsia="zh-CN" w:bidi="ar-SA"/>
        </w:rPr>
        <w:t>配备到位</w:t>
      </w:r>
      <w:r>
        <w:rPr>
          <w:rFonts w:hint="eastAsia" w:eastAsia="楷体_GB2312" w:cstheme="majorBidi"/>
          <w:b/>
          <w:bCs/>
          <w:kern w:val="2"/>
          <w:sz w:val="32"/>
          <w:szCs w:val="32"/>
          <w:highlight w:val="none"/>
          <w:lang w:val="en-US" w:eastAsia="zh-CN" w:bidi="ar-SA"/>
        </w:rPr>
        <w:t>，</w:t>
      </w:r>
      <w:r>
        <w:rPr>
          <w:rFonts w:hint="eastAsia" w:ascii="Times New Roman" w:hAnsi="Times New Roman" w:eastAsia="楷体_GB2312" w:cstheme="majorBidi"/>
          <w:b/>
          <w:bCs/>
          <w:kern w:val="2"/>
          <w:sz w:val="32"/>
          <w:szCs w:val="32"/>
          <w:highlight w:val="none"/>
          <w:lang w:val="en-US" w:eastAsia="zh-CN" w:bidi="ar-SA"/>
        </w:rPr>
        <w:t>提高</w:t>
      </w:r>
      <w:r>
        <w:rPr>
          <w:rFonts w:hint="eastAsia" w:eastAsia="楷体_GB2312" w:cstheme="majorBidi"/>
          <w:b/>
          <w:bCs/>
          <w:kern w:val="2"/>
          <w:sz w:val="32"/>
          <w:szCs w:val="32"/>
          <w:highlight w:val="none"/>
          <w:lang w:val="en-US" w:eastAsia="zh-CN" w:bidi="ar-SA"/>
        </w:rPr>
        <w:t>潮安区</w:t>
      </w:r>
      <w:r>
        <w:rPr>
          <w:rFonts w:hint="eastAsia" w:ascii="Times New Roman" w:hAnsi="Times New Roman" w:eastAsia="楷体_GB2312" w:cstheme="majorBidi"/>
          <w:b/>
          <w:bCs/>
          <w:kern w:val="2"/>
          <w:sz w:val="32"/>
          <w:szCs w:val="32"/>
          <w:highlight w:val="none"/>
          <w:lang w:val="en-US" w:eastAsia="zh-CN" w:bidi="ar-SA"/>
        </w:rPr>
        <w:t>应急救援能力</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textAlignment w:val="auto"/>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潮州市潮安区发展和改革局按职责做好区级公共卫生应急物资社会防疫政府储备调拨和采购工作，并实行分批次采购物资，</w:t>
      </w:r>
      <w:r>
        <w:rPr>
          <w:rFonts w:hint="eastAsia" w:cs="Times New Roman"/>
          <w:b w:val="0"/>
          <w:bCs w:val="0"/>
          <w:kern w:val="2"/>
          <w:sz w:val="32"/>
          <w:szCs w:val="24"/>
          <w:highlight w:val="none"/>
          <w:lang w:val="en-US" w:eastAsia="zh-CN" w:bidi="ar-SA"/>
        </w:rPr>
        <w:t>满足不同阶段的物资需求，能够有效、适量补充应急物资</w:t>
      </w:r>
      <w:r>
        <w:rPr>
          <w:rFonts w:hint="eastAsia" w:ascii="Times New Roman" w:hAnsi="Times New Roman" w:eastAsia="仿宋_GB2312" w:cs="Times New Roman"/>
          <w:b w:val="0"/>
          <w:bCs w:val="0"/>
          <w:kern w:val="2"/>
          <w:sz w:val="32"/>
          <w:szCs w:val="24"/>
          <w:highlight w:val="none"/>
          <w:lang w:val="en-US" w:eastAsia="zh-CN" w:bidi="ar-SA"/>
        </w:rPr>
        <w:t>。项目单位按照潮安区公共卫生应急物资社会防疫政府储备指导目录要求储备量的30%进行采购，应急物资储备种类达</w:t>
      </w:r>
      <w:r>
        <w:rPr>
          <w:rFonts w:hint="eastAsia" w:cs="Times New Roman"/>
          <w:b w:val="0"/>
          <w:bCs w:val="0"/>
          <w:kern w:val="2"/>
          <w:sz w:val="32"/>
          <w:szCs w:val="24"/>
          <w:highlight w:val="none"/>
          <w:lang w:val="en-US" w:eastAsia="zh-CN" w:bidi="ar-SA"/>
        </w:rPr>
        <w:t>29</w:t>
      </w:r>
      <w:r>
        <w:rPr>
          <w:rFonts w:hint="eastAsia" w:ascii="Times New Roman" w:hAnsi="Times New Roman" w:eastAsia="仿宋_GB2312" w:cs="Times New Roman"/>
          <w:b w:val="0"/>
          <w:bCs w:val="0"/>
          <w:kern w:val="2"/>
          <w:sz w:val="32"/>
          <w:szCs w:val="24"/>
          <w:highlight w:val="none"/>
          <w:lang w:val="en-US" w:eastAsia="zh-CN" w:bidi="ar-SA"/>
        </w:rPr>
        <w:t>项，包括防护眼罩、防护面罩、防护服、隔离衣、一次性手术帽、喷雾剂、消毒剂等应急物资，充实完善应急物资储备的品种规模</w:t>
      </w:r>
      <w:r>
        <w:rPr>
          <w:rFonts w:hint="eastAsia"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采购后物资储备状况基本稳定，大大缓解了各单位面对疫情带来的物资短缺的压力，满足了疫情防控工作的开展和疫情管理的需要，对防止疫情的传播和维护群众的稳定起到了很好的作用。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3"/>
        <w:textAlignment w:val="auto"/>
        <w:outlineLvl w:val="1"/>
        <w:rPr>
          <w:rFonts w:hint="eastAsia" w:ascii="楷体_GB2312" w:hAnsi="楷体_GB2312" w:eastAsia="楷体_GB2312" w:cs="楷体_GB2312"/>
          <w:b/>
          <w:bCs/>
          <w:kern w:val="2"/>
          <w:sz w:val="32"/>
          <w:szCs w:val="32"/>
          <w:highlight w:val="none"/>
          <w:lang w:val="en-US" w:eastAsia="zh-CN" w:bidi="ar-SA"/>
        </w:rPr>
      </w:pPr>
      <w:bookmarkStart w:id="23" w:name="_Toc29668"/>
      <w:r>
        <w:rPr>
          <w:rFonts w:hint="eastAsia" w:ascii="楷体_GB2312" w:hAnsi="楷体_GB2312" w:eastAsia="楷体_GB2312" w:cs="楷体_GB2312"/>
          <w:b/>
          <w:bCs/>
          <w:kern w:val="2"/>
          <w:sz w:val="32"/>
          <w:szCs w:val="32"/>
          <w:highlight w:val="none"/>
          <w:lang w:val="en-US" w:eastAsia="zh-CN" w:bidi="ar-SA"/>
        </w:rPr>
        <w:t>（二）建立健全应急物资调拨制度，保障其使用有效性</w:t>
      </w:r>
      <w:bookmarkEnd w:id="23"/>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default"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为</w:t>
      </w:r>
      <w:r>
        <w:rPr>
          <w:rFonts w:hint="eastAsia" w:cs="Times New Roman"/>
          <w:b w:val="0"/>
          <w:bCs w:val="0"/>
          <w:kern w:val="2"/>
          <w:sz w:val="32"/>
          <w:szCs w:val="24"/>
          <w:highlight w:val="none"/>
          <w:lang w:val="en-US" w:eastAsia="zh-CN" w:bidi="ar-SA"/>
        </w:rPr>
        <w:t>加强潮安</w:t>
      </w:r>
      <w:r>
        <w:rPr>
          <w:rFonts w:hint="eastAsia" w:ascii="Times New Roman" w:hAnsi="Times New Roman" w:eastAsia="仿宋_GB2312" w:cs="Times New Roman"/>
          <w:b w:val="0"/>
          <w:bCs w:val="0"/>
          <w:kern w:val="2"/>
          <w:sz w:val="32"/>
          <w:szCs w:val="24"/>
          <w:highlight w:val="none"/>
          <w:lang w:val="en-US" w:eastAsia="zh-CN" w:bidi="ar-SA"/>
        </w:rPr>
        <w:t>区应急物资调拨工作，潮州市潮安区发展和改革局制定了《潮安区级应急物资储备调拨使用管理工作制度》，</w:t>
      </w:r>
      <w:r>
        <w:rPr>
          <w:rFonts w:hint="eastAsia" w:cs="Times New Roman"/>
          <w:b w:val="0"/>
          <w:bCs w:val="0"/>
          <w:kern w:val="2"/>
          <w:sz w:val="32"/>
          <w:szCs w:val="24"/>
          <w:highlight w:val="none"/>
          <w:lang w:val="en-US" w:eastAsia="zh-CN" w:bidi="ar-SA"/>
        </w:rPr>
        <w:t>加强应急物资管</w:t>
      </w:r>
      <w:r>
        <w:rPr>
          <w:rFonts w:hint="eastAsia" w:ascii="Times New Roman" w:hAnsi="Times New Roman" w:eastAsia="仿宋_GB2312" w:cs="Times New Roman"/>
          <w:b w:val="0"/>
          <w:bCs w:val="0"/>
          <w:kern w:val="2"/>
          <w:sz w:val="32"/>
          <w:szCs w:val="24"/>
          <w:highlight w:val="none"/>
          <w:lang w:val="en-US" w:eastAsia="zh-CN" w:bidi="ar-SA"/>
        </w:rPr>
        <w:t>理，有效保障应急物资的</w:t>
      </w:r>
      <w:r>
        <w:rPr>
          <w:rFonts w:hint="eastAsia" w:cs="Times New Roman"/>
          <w:b w:val="0"/>
          <w:bCs w:val="0"/>
          <w:kern w:val="2"/>
          <w:sz w:val="32"/>
          <w:szCs w:val="24"/>
          <w:highlight w:val="none"/>
          <w:lang w:val="en-US" w:eastAsia="zh-CN" w:bidi="ar-SA"/>
        </w:rPr>
        <w:t>及时</w:t>
      </w:r>
      <w:r>
        <w:rPr>
          <w:rFonts w:hint="eastAsia" w:ascii="Times New Roman" w:hAnsi="Times New Roman" w:eastAsia="仿宋_GB2312" w:cs="Times New Roman"/>
          <w:b w:val="0"/>
          <w:bCs w:val="0"/>
          <w:kern w:val="2"/>
          <w:sz w:val="32"/>
          <w:szCs w:val="24"/>
          <w:highlight w:val="none"/>
          <w:lang w:val="en-US" w:eastAsia="zh-CN" w:bidi="ar-SA"/>
        </w:rPr>
        <w:t>供应</w:t>
      </w:r>
      <w:r>
        <w:rPr>
          <w:rFonts w:hint="eastAsia" w:cs="Times New Roman"/>
          <w:b w:val="0"/>
          <w:bCs w:val="0"/>
          <w:kern w:val="2"/>
          <w:sz w:val="32"/>
          <w:szCs w:val="24"/>
          <w:highlight w:val="none"/>
          <w:lang w:val="en-US" w:eastAsia="zh-CN" w:bidi="ar-SA"/>
        </w:rPr>
        <w:t>。此外，项目单位每个月对应急物资进行一次盘点，制定了保管台账和库存明细表，记录了生产日期、有效期、报废期等内容，</w:t>
      </w:r>
      <w:r>
        <w:rPr>
          <w:rFonts w:hint="eastAsia" w:ascii="Times New Roman" w:hAnsi="Times New Roman" w:eastAsia="仿宋_GB2312" w:cs="Times New Roman"/>
          <w:b w:val="0"/>
          <w:bCs w:val="0"/>
          <w:kern w:val="2"/>
          <w:sz w:val="32"/>
          <w:szCs w:val="24"/>
          <w:highlight w:val="none"/>
          <w:lang w:val="en-US" w:eastAsia="zh-CN" w:bidi="ar-SA"/>
        </w:rPr>
        <w:t>定期检查</w:t>
      </w:r>
      <w:r>
        <w:rPr>
          <w:rFonts w:hint="eastAsia" w:cs="Times New Roman"/>
          <w:b w:val="0"/>
          <w:bCs w:val="0"/>
          <w:kern w:val="2"/>
          <w:sz w:val="32"/>
          <w:szCs w:val="24"/>
          <w:highlight w:val="none"/>
          <w:lang w:val="en-US" w:eastAsia="zh-CN" w:bidi="ar-SA"/>
        </w:rPr>
        <w:t>应急物资</w:t>
      </w:r>
      <w:r>
        <w:rPr>
          <w:rFonts w:hint="eastAsia" w:ascii="Times New Roman" w:hAnsi="Times New Roman" w:eastAsia="仿宋_GB2312" w:cs="Times New Roman"/>
          <w:b w:val="0"/>
          <w:bCs w:val="0"/>
          <w:kern w:val="2"/>
          <w:sz w:val="32"/>
          <w:szCs w:val="24"/>
          <w:highlight w:val="none"/>
          <w:lang w:val="en-US" w:eastAsia="zh-CN" w:bidi="ar-SA"/>
        </w:rPr>
        <w:t>有效期</w:t>
      </w:r>
      <w:r>
        <w:rPr>
          <w:rFonts w:hint="eastAsia" w:cs="Times New Roman"/>
          <w:b w:val="0"/>
          <w:bCs w:val="0"/>
          <w:kern w:val="2"/>
          <w:sz w:val="32"/>
          <w:szCs w:val="24"/>
          <w:highlight w:val="none"/>
          <w:lang w:val="en-US" w:eastAsia="zh-CN" w:bidi="ar-SA"/>
        </w:rPr>
        <w:t>。同时为保障其使用有效性，</w:t>
      </w:r>
      <w:r>
        <w:rPr>
          <w:rFonts w:hint="eastAsia" w:ascii="Times New Roman" w:hAnsi="Times New Roman" w:eastAsia="仿宋_GB2312" w:cs="Times New Roman"/>
          <w:b w:val="0"/>
          <w:bCs w:val="0"/>
          <w:kern w:val="2"/>
          <w:sz w:val="32"/>
          <w:szCs w:val="24"/>
          <w:highlight w:val="none"/>
          <w:lang w:val="en-US" w:eastAsia="zh-CN" w:bidi="ar-SA"/>
        </w:rPr>
        <w:t>对于快过期的储备物资，</w:t>
      </w:r>
      <w:r>
        <w:rPr>
          <w:rFonts w:hint="default" w:ascii="Times New Roman" w:hAnsi="Times New Roman" w:eastAsia="仿宋_GB2312" w:cs="Times New Roman"/>
          <w:b w:val="0"/>
          <w:bCs w:val="0"/>
          <w:kern w:val="2"/>
          <w:sz w:val="32"/>
          <w:szCs w:val="24"/>
          <w:highlight w:val="none"/>
          <w:lang w:val="en-US" w:eastAsia="zh-CN" w:bidi="ar-SA"/>
        </w:rPr>
        <w:t>区防控物资保障组</w:t>
      </w:r>
      <w:r>
        <w:rPr>
          <w:rFonts w:hint="eastAsia" w:ascii="Times New Roman" w:hAnsi="Times New Roman" w:eastAsia="仿宋_GB2312" w:cs="Times New Roman"/>
          <w:b w:val="0"/>
          <w:bCs w:val="0"/>
          <w:kern w:val="2"/>
          <w:sz w:val="32"/>
          <w:szCs w:val="24"/>
          <w:highlight w:val="none"/>
          <w:lang w:val="en-US" w:eastAsia="zh-CN" w:bidi="ar-SA"/>
        </w:rPr>
        <w:t>参照区前期医疗物资保障经验做法</w:t>
      </w:r>
      <w:r>
        <w:rPr>
          <w:rFonts w:hint="eastAsia" w:cs="Times New Roman"/>
          <w:b w:val="0"/>
          <w:bCs w:val="0"/>
          <w:kern w:val="2"/>
          <w:sz w:val="32"/>
          <w:szCs w:val="24"/>
          <w:highlight w:val="none"/>
          <w:lang w:val="en-US" w:eastAsia="zh-CN" w:bidi="ar-SA"/>
        </w:rPr>
        <w:t>，制定了《区级公共卫生应急物资社会防疫政府储备物资调拨方案》，将应急物资</w:t>
      </w:r>
      <w:r>
        <w:rPr>
          <w:rFonts w:hint="eastAsia" w:ascii="Times New Roman" w:hAnsi="Times New Roman" w:eastAsia="仿宋_GB2312" w:cs="Times New Roman"/>
          <w:b w:val="0"/>
          <w:bCs w:val="0"/>
          <w:kern w:val="2"/>
          <w:sz w:val="32"/>
          <w:szCs w:val="24"/>
          <w:highlight w:val="none"/>
          <w:lang w:val="en-US" w:eastAsia="zh-CN" w:bidi="ar-SA"/>
        </w:rPr>
        <w:t>转交其他</w:t>
      </w:r>
      <w:r>
        <w:rPr>
          <w:rFonts w:hint="eastAsia" w:cs="Times New Roman"/>
          <w:b w:val="0"/>
          <w:bCs w:val="0"/>
          <w:kern w:val="2"/>
          <w:sz w:val="32"/>
          <w:szCs w:val="24"/>
          <w:highlight w:val="none"/>
          <w:lang w:val="en-US" w:eastAsia="zh-CN" w:bidi="ar-SA"/>
        </w:rPr>
        <w:t>单位</w:t>
      </w:r>
      <w:r>
        <w:rPr>
          <w:rFonts w:hint="eastAsia" w:ascii="Times New Roman" w:hAnsi="Times New Roman" w:eastAsia="仿宋_GB2312" w:cs="Times New Roman"/>
          <w:b w:val="0"/>
          <w:bCs w:val="0"/>
          <w:kern w:val="2"/>
          <w:sz w:val="32"/>
          <w:szCs w:val="24"/>
          <w:highlight w:val="none"/>
          <w:lang w:val="en-US" w:eastAsia="zh-CN" w:bidi="ar-SA"/>
        </w:rPr>
        <w:t>以期尽快使</w:t>
      </w:r>
      <w:r>
        <w:rPr>
          <w:rFonts w:hint="eastAsia" w:cs="Times New Roman"/>
          <w:b w:val="0"/>
          <w:bCs w:val="0"/>
          <w:kern w:val="2"/>
          <w:sz w:val="32"/>
          <w:szCs w:val="24"/>
          <w:highlight w:val="none"/>
          <w:lang w:val="en-US" w:eastAsia="zh-CN" w:bidi="ar-SA"/>
        </w:rPr>
        <w:t>用，规避和减少库存物资超过规定保管期限而无法使用的风险。</w:t>
      </w:r>
    </w:p>
    <w:p>
      <w:pPr>
        <w:pStyle w:val="2"/>
        <w:spacing w:before="156" w:after="156"/>
        <w:ind w:firstLine="640"/>
        <w:rPr>
          <w:rFonts w:ascii="Times New Roman" w:hAnsi="Times New Roman"/>
          <w:highlight w:val="none"/>
        </w:rPr>
      </w:pPr>
      <w:bookmarkStart w:id="24" w:name="_Toc1224"/>
      <w:bookmarkStart w:id="25" w:name="_Toc19236"/>
      <w:r>
        <w:rPr>
          <w:rFonts w:hint="eastAsia" w:ascii="Times New Roman" w:hAnsi="Times New Roman"/>
          <w:highlight w:val="none"/>
        </w:rPr>
        <w:t>五、存在问题及原因分析</w:t>
      </w:r>
      <w:bookmarkEnd w:id="24"/>
      <w:bookmarkEnd w:id="25"/>
    </w:p>
    <w:p>
      <w:pPr>
        <w:pStyle w:val="3"/>
        <w:spacing w:before="156" w:after="156"/>
        <w:ind w:firstLine="643"/>
        <w:rPr>
          <w:rFonts w:hint="default" w:ascii="Times New Roman" w:hAnsi="Times New Roman" w:eastAsia="楷体_GB2312"/>
          <w:highlight w:val="none"/>
          <w:lang w:val="en-US" w:eastAsia="zh-CN"/>
        </w:rPr>
      </w:pPr>
      <w:bookmarkStart w:id="26" w:name="_Toc5566"/>
      <w:bookmarkStart w:id="27" w:name="_Toc14101"/>
      <w:r>
        <w:rPr>
          <w:rFonts w:hint="eastAsia" w:ascii="Times New Roman" w:hAnsi="Times New Roman"/>
          <w:highlight w:val="none"/>
        </w:rPr>
        <w:t>（一）</w:t>
      </w:r>
      <w:bookmarkEnd w:id="26"/>
      <w:r>
        <w:rPr>
          <w:rFonts w:hint="eastAsia" w:ascii="Times New Roman" w:hAnsi="Times New Roman"/>
          <w:highlight w:val="none"/>
          <w:lang w:val="en-US" w:eastAsia="zh-CN"/>
        </w:rPr>
        <w:t>财务管理不规范，未建立专户管理</w:t>
      </w:r>
      <w:bookmarkEnd w:id="27"/>
    </w:p>
    <w:p>
      <w:pPr>
        <w:ind w:firstLine="640"/>
        <w:rPr>
          <w:rFonts w:hint="default" w:ascii="Times New Roman" w:hAnsi="Times New Roman" w:cs="Times New Roman"/>
          <w:color w:val="auto"/>
          <w:sz w:val="32"/>
          <w:szCs w:val="22"/>
          <w:highlight w:val="none"/>
          <w:lang w:val="en-US" w:eastAsia="zh-CN"/>
        </w:rPr>
      </w:pPr>
      <w:r>
        <w:rPr>
          <w:rFonts w:hint="eastAsia" w:ascii="Times New Roman" w:hAnsi="Times New Roman" w:eastAsia="仿宋_GB2312" w:cs="Times New Roman"/>
          <w:color w:val="auto"/>
          <w:sz w:val="32"/>
          <w:szCs w:val="22"/>
          <w:highlight w:val="none"/>
          <w:lang w:val="en-US" w:eastAsia="zh-CN"/>
        </w:rPr>
        <w:t>通过现场核查</w:t>
      </w:r>
      <w:r>
        <w:rPr>
          <w:rFonts w:hint="eastAsia" w:ascii="Times New Roman" w:hAnsi="Times New Roman" w:cs="Times New Roman"/>
          <w:color w:val="auto"/>
          <w:sz w:val="32"/>
          <w:szCs w:val="22"/>
          <w:highlight w:val="none"/>
          <w:lang w:val="en-US" w:eastAsia="zh-CN"/>
        </w:rPr>
        <w:t>项目单位</w:t>
      </w:r>
      <w:r>
        <w:rPr>
          <w:rFonts w:hint="eastAsia" w:ascii="Times New Roman" w:hAnsi="Times New Roman" w:eastAsia="仿宋_GB2312" w:cs="Times New Roman"/>
          <w:color w:val="auto"/>
          <w:sz w:val="32"/>
          <w:szCs w:val="22"/>
          <w:highlight w:val="none"/>
          <w:lang w:val="en-US" w:eastAsia="zh-CN"/>
        </w:rPr>
        <w:t>提供的财务管理相</w:t>
      </w:r>
      <w:r>
        <w:rPr>
          <w:rFonts w:hint="eastAsia" w:ascii="Times New Roman" w:hAnsi="Times New Roman" w:eastAsia="仿宋_GB2312" w:cs="Times New Roman"/>
          <w:color w:val="auto"/>
          <w:sz w:val="32"/>
          <w:szCs w:val="22"/>
          <w:lang w:val="en-US" w:eastAsia="zh-CN"/>
        </w:rPr>
        <w:t>关材料</w:t>
      </w:r>
      <w:r>
        <w:rPr>
          <w:rFonts w:hint="eastAsia" w:cs="Times New Roman"/>
          <w:color w:val="auto"/>
          <w:sz w:val="32"/>
          <w:szCs w:val="22"/>
          <w:lang w:val="en-US" w:eastAsia="zh-CN"/>
        </w:rPr>
        <w:t>，评价小组发现项目会计核算不够规范，财务管理需加强</w:t>
      </w:r>
      <w:r>
        <w:rPr>
          <w:rFonts w:hint="eastAsia" w:ascii="Times New Roman" w:hAnsi="Times New Roman" w:eastAsia="仿宋_GB2312" w:cs="Times New Roman"/>
          <w:color w:val="auto"/>
          <w:sz w:val="32"/>
          <w:szCs w:val="22"/>
          <w:lang w:val="en-US" w:eastAsia="zh-CN"/>
        </w:rPr>
        <w:t>，</w:t>
      </w:r>
      <w:r>
        <w:rPr>
          <w:rFonts w:hint="eastAsia" w:cs="Times New Roman"/>
          <w:color w:val="auto"/>
          <w:sz w:val="32"/>
          <w:szCs w:val="22"/>
          <w:lang w:val="en-US" w:eastAsia="zh-CN"/>
        </w:rPr>
        <w:t>具体体现为</w:t>
      </w:r>
      <w:r>
        <w:rPr>
          <w:rFonts w:hint="eastAsia" w:ascii="Times New Roman" w:hAnsi="Times New Roman" w:eastAsia="仿宋_GB2312" w:cs="Times New Roman"/>
          <w:color w:val="auto"/>
          <w:sz w:val="32"/>
          <w:szCs w:val="22"/>
          <w:lang w:val="en-US" w:eastAsia="zh-CN"/>
        </w:rPr>
        <w:t>：</w:t>
      </w:r>
      <w:r>
        <w:rPr>
          <w:rFonts w:hint="eastAsia" w:ascii="Times New Roman" w:hAnsi="Times New Roman" w:cs="Times New Roman"/>
          <w:b/>
          <w:bCs/>
          <w:color w:val="auto"/>
          <w:sz w:val="32"/>
          <w:szCs w:val="22"/>
          <w:lang w:val="en-US" w:eastAsia="zh-CN"/>
        </w:rPr>
        <w:t>一是</w:t>
      </w:r>
      <w:r>
        <w:rPr>
          <w:rFonts w:hint="eastAsia" w:ascii="Times New Roman" w:hAnsi="Times New Roman" w:cs="Times New Roman"/>
          <w:color w:val="auto"/>
          <w:sz w:val="32"/>
          <w:szCs w:val="22"/>
          <w:lang w:val="en-US" w:eastAsia="zh-CN"/>
        </w:rPr>
        <w:t>支付凭证附件不完善，如2022年7月</w:t>
      </w:r>
      <w:r>
        <w:rPr>
          <w:rFonts w:hint="eastAsia" w:cs="Times New Roman"/>
          <w:color w:val="auto"/>
          <w:sz w:val="32"/>
          <w:szCs w:val="22"/>
          <w:lang w:val="en-US" w:eastAsia="zh-CN"/>
        </w:rPr>
        <w:t>31日</w:t>
      </w:r>
      <w:r>
        <w:rPr>
          <w:rFonts w:hint="eastAsia" w:ascii="Times New Roman" w:hAnsi="Times New Roman" w:cs="Times New Roman"/>
          <w:color w:val="auto"/>
          <w:sz w:val="32"/>
          <w:szCs w:val="22"/>
          <w:lang w:val="en-US" w:eastAsia="zh-CN"/>
        </w:rPr>
        <w:t>“记账-0012”</w:t>
      </w:r>
      <w:r>
        <w:rPr>
          <w:rFonts w:hint="eastAsia" w:ascii="Times New Roman" w:hAnsi="Times New Roman" w:eastAsia="仿宋_GB2312" w:cs="Times New Roman"/>
          <w:color w:val="auto"/>
          <w:sz w:val="32"/>
          <w:szCs w:val="22"/>
          <w:lang w:val="en-US" w:eastAsia="zh-CN"/>
        </w:rPr>
        <w:t>凭证</w:t>
      </w:r>
      <w:r>
        <w:rPr>
          <w:rFonts w:hint="eastAsia" w:ascii="Times New Roman" w:hAnsi="Times New Roman" w:cs="Times New Roman"/>
          <w:color w:val="auto"/>
          <w:sz w:val="32"/>
          <w:szCs w:val="22"/>
          <w:lang w:val="en-US" w:eastAsia="zh-CN"/>
        </w:rPr>
        <w:t>，资金支出用途为第一批应急物资采购项目余款，凭证附件未附相关审批流程、验收报告、送货记录、入库记录、合同等资料；又如2022年11月</w:t>
      </w:r>
      <w:r>
        <w:rPr>
          <w:rFonts w:hint="eastAsia" w:cs="Times New Roman"/>
          <w:color w:val="auto"/>
          <w:sz w:val="32"/>
          <w:szCs w:val="22"/>
          <w:lang w:val="en-US" w:eastAsia="zh-CN"/>
        </w:rPr>
        <w:t>30日</w:t>
      </w:r>
      <w:r>
        <w:rPr>
          <w:rFonts w:hint="eastAsia" w:ascii="Times New Roman" w:hAnsi="Times New Roman" w:cs="Times New Roman"/>
          <w:color w:val="auto"/>
          <w:sz w:val="32"/>
          <w:szCs w:val="22"/>
          <w:lang w:val="en-US" w:eastAsia="zh-CN"/>
        </w:rPr>
        <w:t>“记账-0013”</w:t>
      </w:r>
      <w:r>
        <w:rPr>
          <w:rFonts w:hint="eastAsia" w:ascii="Times New Roman" w:hAnsi="Times New Roman" w:eastAsia="仿宋_GB2312" w:cs="Times New Roman"/>
          <w:color w:val="auto"/>
          <w:sz w:val="32"/>
          <w:szCs w:val="22"/>
          <w:lang w:val="en-US" w:eastAsia="zh-CN"/>
        </w:rPr>
        <w:t>凭证</w:t>
      </w:r>
      <w:r>
        <w:rPr>
          <w:rFonts w:hint="eastAsia" w:ascii="Times New Roman" w:hAnsi="Times New Roman" w:cs="Times New Roman"/>
          <w:color w:val="auto"/>
          <w:sz w:val="32"/>
          <w:szCs w:val="22"/>
          <w:lang w:val="en-US" w:eastAsia="zh-CN"/>
        </w:rPr>
        <w:t>，资金支出用途为第二批应急物资采购项目余款，凭证附件未附验收报告、送货记录、入库记录等资料。</w:t>
      </w:r>
      <w:r>
        <w:rPr>
          <w:rFonts w:hint="eastAsia" w:ascii="Times New Roman" w:hAnsi="Times New Roman" w:cs="Times New Roman"/>
          <w:b/>
          <w:bCs/>
          <w:color w:val="auto"/>
          <w:sz w:val="32"/>
          <w:szCs w:val="22"/>
          <w:lang w:val="en-US" w:eastAsia="zh-CN"/>
        </w:rPr>
        <w:t>二是</w:t>
      </w:r>
      <w:r>
        <w:rPr>
          <w:rFonts w:hint="eastAsia" w:ascii="Times New Roman" w:hAnsi="Times New Roman" w:cs="Times New Roman"/>
          <w:color w:val="auto"/>
          <w:sz w:val="32"/>
          <w:szCs w:val="22"/>
          <w:lang w:val="en-US" w:eastAsia="zh-CN"/>
        </w:rPr>
        <w:t>本项目未建立专户管理，财政资金混账管理，不符合《专项资金管理办法》和《广东省人民政府关于印发</w:t>
      </w:r>
      <w:r>
        <w:rPr>
          <w:rFonts w:hint="eastAsia" w:ascii="Times New Roman" w:hAnsi="Times New Roman" w:cs="Times New Roman"/>
          <w:color w:val="auto"/>
          <w:sz w:val="32"/>
          <w:szCs w:val="22"/>
          <w:lang w:val="en-US" w:eastAsia="zh-CN"/>
        </w:rPr>
        <w:fldChar w:fldCharType="begin"/>
      </w:r>
      <w:r>
        <w:rPr>
          <w:rFonts w:hint="eastAsia" w:ascii="Times New Roman" w:hAnsi="Times New Roman" w:cs="Times New Roman"/>
          <w:color w:val="auto"/>
          <w:sz w:val="32"/>
          <w:szCs w:val="22"/>
          <w:lang w:val="en-US" w:eastAsia="zh-CN"/>
        </w:rPr>
        <w:instrText xml:space="preserve"> HYPERLINK "https://www.waizi.org.cn/policy/63792.html" \o "粤府〔2018〕120号《广东省省级财政专项资金管理办法（试行）》" \t "https://www.waizi.org.cn/policy/_blank" </w:instrText>
      </w:r>
      <w:r>
        <w:rPr>
          <w:rFonts w:hint="eastAsia" w:ascii="Times New Roman" w:hAnsi="Times New Roman" w:cs="Times New Roman"/>
          <w:color w:val="auto"/>
          <w:sz w:val="32"/>
          <w:szCs w:val="22"/>
          <w:lang w:val="en-US" w:eastAsia="zh-CN"/>
        </w:rPr>
        <w:fldChar w:fldCharType="separate"/>
      </w:r>
      <w:r>
        <w:rPr>
          <w:rFonts w:hint="eastAsia" w:ascii="Times New Roman" w:hAnsi="Times New Roman" w:cs="Times New Roman"/>
          <w:color w:val="auto"/>
          <w:sz w:val="32"/>
          <w:szCs w:val="22"/>
          <w:lang w:val="en-US" w:eastAsia="zh-CN"/>
        </w:rPr>
        <w:t>广东省省级财政专项资金管理办法（试行）</w:t>
      </w:r>
      <w:r>
        <w:rPr>
          <w:rFonts w:hint="eastAsia" w:ascii="Times New Roman" w:hAnsi="Times New Roman" w:cs="Times New Roman"/>
          <w:color w:val="auto"/>
          <w:sz w:val="32"/>
          <w:szCs w:val="22"/>
          <w:lang w:val="en-US" w:eastAsia="zh-CN"/>
        </w:rPr>
        <w:fldChar w:fldCharType="end"/>
      </w:r>
      <w:r>
        <w:rPr>
          <w:rFonts w:hint="eastAsia" w:ascii="Times New Roman" w:hAnsi="Times New Roman" w:cs="Times New Roman"/>
          <w:color w:val="auto"/>
          <w:sz w:val="32"/>
          <w:szCs w:val="22"/>
          <w:lang w:val="en-US" w:eastAsia="zh-CN"/>
        </w:rPr>
        <w:t>的通知》（</w:t>
      </w:r>
      <w:r>
        <w:rPr>
          <w:rFonts w:hint="eastAsia" w:ascii="Times New Roman" w:hAnsi="Times New Roman" w:cs="Times New Roman"/>
          <w:color w:val="auto"/>
          <w:sz w:val="32"/>
          <w:szCs w:val="22"/>
          <w:lang w:val="en-US" w:eastAsia="zh-CN"/>
        </w:rPr>
        <w:fldChar w:fldCharType="begin"/>
      </w:r>
      <w:r>
        <w:rPr>
          <w:rFonts w:hint="eastAsia" w:ascii="Times New Roman" w:hAnsi="Times New Roman" w:cs="Times New Roman"/>
          <w:color w:val="auto"/>
          <w:sz w:val="32"/>
          <w:szCs w:val="22"/>
          <w:lang w:val="en-US" w:eastAsia="zh-CN"/>
        </w:rPr>
        <w:instrText xml:space="preserve"> HYPERLINK "https://www.waizi.org.cn/policy/63792.html" \o "粤府〔2018〕120号《广东省省级财政专项资金管理办法（试行）》" \t "https://www.waizi.org.cn/policy/_blank" </w:instrText>
      </w:r>
      <w:r>
        <w:rPr>
          <w:rFonts w:hint="eastAsia" w:ascii="Times New Roman" w:hAnsi="Times New Roman" w:cs="Times New Roman"/>
          <w:color w:val="auto"/>
          <w:sz w:val="32"/>
          <w:szCs w:val="22"/>
          <w:lang w:val="en-US" w:eastAsia="zh-CN"/>
        </w:rPr>
        <w:fldChar w:fldCharType="separate"/>
      </w:r>
      <w:r>
        <w:rPr>
          <w:rFonts w:hint="eastAsia" w:ascii="Times New Roman" w:hAnsi="Times New Roman" w:cs="Times New Roman"/>
          <w:color w:val="auto"/>
          <w:sz w:val="32"/>
          <w:szCs w:val="22"/>
          <w:lang w:val="en-US" w:eastAsia="zh-CN"/>
        </w:rPr>
        <w:t>粤府〔2018〕120号</w:t>
      </w:r>
      <w:r>
        <w:rPr>
          <w:rFonts w:hint="eastAsia" w:ascii="Times New Roman" w:hAnsi="Times New Roman" w:cs="Times New Roman"/>
          <w:color w:val="auto"/>
          <w:sz w:val="32"/>
          <w:szCs w:val="22"/>
          <w:lang w:val="en-US" w:eastAsia="zh-CN"/>
        </w:rPr>
        <w:fldChar w:fldCharType="end"/>
      </w:r>
      <w:r>
        <w:rPr>
          <w:rFonts w:hint="eastAsia" w:ascii="Times New Roman" w:hAnsi="Times New Roman" w:cs="Times New Roman"/>
          <w:color w:val="auto"/>
          <w:sz w:val="32"/>
          <w:szCs w:val="22"/>
          <w:lang w:val="en-US" w:eastAsia="zh-CN"/>
        </w:rPr>
        <w:t>）要求，</w:t>
      </w:r>
      <w:r>
        <w:rPr>
          <w:rFonts w:hint="eastAsia" w:ascii="Times New Roman" w:hAnsi="Times New Roman" w:cs="Times New Roman"/>
          <w:color w:val="auto"/>
          <w:sz w:val="32"/>
          <w:szCs w:val="22"/>
          <w:highlight w:val="none"/>
          <w:lang w:val="en-US" w:eastAsia="zh-CN"/>
        </w:rPr>
        <w:t>缺乏</w:t>
      </w:r>
      <w:r>
        <w:rPr>
          <w:rFonts w:hint="eastAsia" w:cs="Times New Roman"/>
          <w:color w:val="auto"/>
          <w:sz w:val="32"/>
          <w:szCs w:val="22"/>
          <w:highlight w:val="none"/>
          <w:lang w:val="en-US" w:eastAsia="zh-CN"/>
        </w:rPr>
        <w:t>对</w:t>
      </w:r>
      <w:r>
        <w:rPr>
          <w:rFonts w:hint="eastAsia" w:ascii="Times New Roman" w:hAnsi="Times New Roman" w:cs="Times New Roman"/>
          <w:color w:val="auto"/>
          <w:sz w:val="32"/>
          <w:szCs w:val="22"/>
          <w:highlight w:val="none"/>
          <w:lang w:val="en-US" w:eastAsia="zh-CN"/>
        </w:rPr>
        <w:t>财政资金专户的管理和监督。</w:t>
      </w:r>
    </w:p>
    <w:p>
      <w:pPr>
        <w:pStyle w:val="3"/>
        <w:spacing w:before="156" w:after="156"/>
        <w:ind w:firstLine="643"/>
        <w:rPr>
          <w:rFonts w:ascii="Times New Roman" w:hAnsi="Times New Roman"/>
          <w:highlight w:val="none"/>
        </w:rPr>
      </w:pPr>
      <w:bookmarkStart w:id="28" w:name="_Toc4147"/>
      <w:bookmarkStart w:id="29" w:name="_Toc15474"/>
      <w:r>
        <w:rPr>
          <w:rFonts w:hint="eastAsia" w:ascii="Times New Roman" w:hAnsi="Times New Roman"/>
          <w:highlight w:val="none"/>
        </w:rPr>
        <w:t>（二）</w:t>
      </w:r>
      <w:bookmarkEnd w:id="28"/>
      <w:r>
        <w:rPr>
          <w:rFonts w:hint="eastAsia" w:ascii="Times New Roman" w:hAnsi="Times New Roman"/>
          <w:highlight w:val="none"/>
        </w:rPr>
        <w:t>资金测算不</w:t>
      </w:r>
      <w:r>
        <w:rPr>
          <w:rFonts w:hint="eastAsia" w:ascii="Times New Roman" w:hAnsi="Times New Roman"/>
          <w:highlight w:val="none"/>
          <w:lang w:val="en-US" w:eastAsia="zh-CN"/>
        </w:rPr>
        <w:t>够合理</w:t>
      </w:r>
      <w:r>
        <w:rPr>
          <w:rFonts w:hint="eastAsia" w:ascii="Times New Roman" w:hAnsi="Times New Roman"/>
          <w:highlight w:val="none"/>
          <w:lang w:eastAsia="zh-CN"/>
        </w:rPr>
        <w:t>，</w:t>
      </w:r>
      <w:r>
        <w:rPr>
          <w:rFonts w:hint="eastAsia" w:ascii="Times New Roman" w:hAnsi="Times New Roman"/>
          <w:highlight w:val="none"/>
          <w:lang w:val="en-US" w:eastAsia="zh-CN"/>
        </w:rPr>
        <w:t>台账</w:t>
      </w:r>
      <w:r>
        <w:rPr>
          <w:rFonts w:hint="eastAsia" w:ascii="Times New Roman" w:hAnsi="Times New Roman"/>
          <w:highlight w:val="none"/>
        </w:rPr>
        <w:t>管理</w:t>
      </w:r>
      <w:r>
        <w:rPr>
          <w:rFonts w:hint="eastAsia" w:ascii="Times New Roman" w:hAnsi="Times New Roman"/>
          <w:highlight w:val="none"/>
          <w:lang w:val="en-US" w:eastAsia="zh-CN"/>
        </w:rPr>
        <w:t>不善</w:t>
      </w:r>
      <w:bookmarkEnd w:id="29"/>
    </w:p>
    <w:p>
      <w:pPr>
        <w:ind w:firstLine="640"/>
        <w:rPr>
          <w:rFonts w:hint="eastAsia" w:ascii="Times New Roman" w:hAnsi="Times New Roman" w:eastAsia="仿宋_GB2312"/>
          <w:highlight w:val="none"/>
          <w:lang w:eastAsia="zh-CN"/>
        </w:rPr>
      </w:pPr>
      <w:r>
        <w:rPr>
          <w:rFonts w:hint="eastAsia"/>
          <w:b/>
          <w:bCs/>
          <w:highlight w:val="none"/>
          <w:lang w:val="en-US" w:eastAsia="zh-CN"/>
        </w:rPr>
        <w:t>一是</w:t>
      </w:r>
      <w:r>
        <w:rPr>
          <w:rFonts w:hint="eastAsia" w:ascii="Times New Roman" w:hAnsi="Times New Roman"/>
          <w:highlight w:val="none"/>
        </w:rPr>
        <w:t>项目</w:t>
      </w:r>
      <w:r>
        <w:rPr>
          <w:rFonts w:hint="eastAsia"/>
          <w:highlight w:val="none"/>
          <w:lang w:val="en-US" w:eastAsia="zh-CN"/>
        </w:rPr>
        <w:t>成本控制不够到位</w:t>
      </w:r>
      <w:r>
        <w:rPr>
          <w:rFonts w:hint="eastAsia" w:ascii="Times New Roman" w:hAnsi="Times New Roman"/>
          <w:highlight w:val="none"/>
        </w:rPr>
        <w:t>，</w:t>
      </w:r>
      <w:r>
        <w:rPr>
          <w:rFonts w:hint="eastAsia"/>
          <w:highlight w:val="none"/>
          <w:lang w:val="en-US" w:eastAsia="zh-CN"/>
        </w:rPr>
        <w:t>根据项目单位提供的《询价报告书》，</w:t>
      </w:r>
      <w:r>
        <w:rPr>
          <w:rFonts w:hint="eastAsia" w:ascii="Times New Roman" w:hAnsi="Times New Roman"/>
          <w:highlight w:val="none"/>
        </w:rPr>
        <w:t>部分物资价格偏高，例如医用防护口罩（N95）单价为14元，</w:t>
      </w:r>
      <w:r>
        <w:rPr>
          <w:rFonts w:hint="eastAsia"/>
          <w:highlight w:val="none"/>
          <w:lang w:val="en-US" w:eastAsia="zh-CN"/>
        </w:rPr>
        <w:t>对比</w:t>
      </w:r>
      <w:r>
        <w:rPr>
          <w:rFonts w:hint="eastAsia" w:ascii="Times New Roman" w:hAnsi="Times New Roman" w:cs="Times New Roman"/>
          <w:color w:val="000000"/>
          <w:kern w:val="0"/>
          <w:sz w:val="32"/>
          <w:szCs w:val="32"/>
          <w:highlight w:val="none"/>
          <w:lang w:val="en-US" w:eastAsia="zh-CN"/>
        </w:rPr>
        <w:t>2021年</w:t>
      </w:r>
      <w:r>
        <w:rPr>
          <w:rFonts w:hint="eastAsia" w:ascii="Times New Roman" w:hAnsi="Times New Roman" w:eastAsia="仿宋_GB2312" w:cs="Times New Roman"/>
          <w:color w:val="000000"/>
          <w:kern w:val="0"/>
          <w:sz w:val="32"/>
          <w:szCs w:val="32"/>
          <w:highlight w:val="none"/>
          <w:lang w:val="en-US" w:eastAsia="zh-CN"/>
        </w:rPr>
        <w:t>同期市场价</w:t>
      </w:r>
      <w:r>
        <w:rPr>
          <w:rFonts w:hint="eastAsia" w:ascii="Times New Roman" w:hAnsi="Times New Roman" w:cs="Times New Roman"/>
          <w:color w:val="000000"/>
          <w:kern w:val="0"/>
          <w:sz w:val="32"/>
          <w:szCs w:val="32"/>
          <w:highlight w:val="none"/>
          <w:lang w:val="en-US" w:eastAsia="zh-CN"/>
        </w:rPr>
        <w:t>，</w:t>
      </w:r>
      <w:r>
        <w:rPr>
          <w:rFonts w:hint="eastAsia" w:ascii="Times New Roman" w:hAnsi="Times New Roman"/>
          <w:highlight w:val="none"/>
        </w:rPr>
        <w:t>医用防护口罩（N95）单价为</w:t>
      </w:r>
      <w:r>
        <w:rPr>
          <w:rFonts w:hint="eastAsia" w:ascii="Times New Roman" w:hAnsi="Times New Roman" w:cs="Times New Roman"/>
          <w:color w:val="000000"/>
          <w:kern w:val="0"/>
          <w:sz w:val="32"/>
          <w:szCs w:val="32"/>
          <w:highlight w:val="none"/>
          <w:lang w:val="en-US" w:eastAsia="zh-CN"/>
        </w:rPr>
        <w:t>3</w:t>
      </w:r>
      <w:r>
        <w:rPr>
          <w:rFonts w:hint="eastAsia" w:ascii="Times New Roman" w:hAnsi="Times New Roman" w:eastAsia="仿宋_GB2312" w:cs="Times New Roman"/>
          <w:color w:val="000000"/>
          <w:kern w:val="0"/>
          <w:sz w:val="32"/>
          <w:szCs w:val="32"/>
          <w:highlight w:val="none"/>
          <w:lang w:val="en-US" w:eastAsia="zh-CN"/>
        </w:rPr>
        <w:t>元左右，</w:t>
      </w:r>
      <w:r>
        <w:rPr>
          <w:rFonts w:hint="eastAsia" w:ascii="Times New Roman" w:hAnsi="Times New Roman"/>
          <w:highlight w:val="none"/>
        </w:rPr>
        <w:t>与市场价格</w:t>
      </w:r>
      <w:r>
        <w:rPr>
          <w:rFonts w:hint="eastAsia"/>
          <w:highlight w:val="none"/>
          <w:lang w:val="en-US" w:eastAsia="zh-CN"/>
        </w:rPr>
        <w:t>严重</w:t>
      </w:r>
      <w:r>
        <w:rPr>
          <w:rFonts w:hint="eastAsia" w:ascii="Times New Roman" w:hAnsi="Times New Roman"/>
          <w:highlight w:val="none"/>
        </w:rPr>
        <w:t>不符，前期询价</w:t>
      </w:r>
      <w:r>
        <w:rPr>
          <w:rFonts w:hint="eastAsia"/>
          <w:highlight w:val="none"/>
          <w:lang w:val="en-US" w:eastAsia="zh-CN"/>
        </w:rPr>
        <w:t>项目单位</w:t>
      </w:r>
      <w:r>
        <w:rPr>
          <w:rFonts w:hint="eastAsia" w:ascii="Times New Roman" w:hAnsi="Times New Roman"/>
          <w:highlight w:val="none"/>
        </w:rPr>
        <w:t>未再次核实</w:t>
      </w:r>
      <w:r>
        <w:rPr>
          <w:rFonts w:hint="eastAsia"/>
          <w:highlight w:val="none"/>
          <w:lang w:val="en-US" w:eastAsia="zh-CN"/>
        </w:rPr>
        <w:t>其真实性</w:t>
      </w:r>
      <w:r>
        <w:rPr>
          <w:rFonts w:hint="eastAsia" w:ascii="Times New Roman" w:hAnsi="Times New Roman"/>
          <w:highlight w:val="none"/>
        </w:rPr>
        <w:t>，</w:t>
      </w:r>
      <w:r>
        <w:rPr>
          <w:rFonts w:hint="eastAsia"/>
          <w:highlight w:val="none"/>
          <w:lang w:val="en-US" w:eastAsia="zh-CN"/>
        </w:rPr>
        <w:t>导致</w:t>
      </w:r>
      <w:r>
        <w:rPr>
          <w:rFonts w:hint="eastAsia" w:ascii="Times New Roman" w:hAnsi="Times New Roman"/>
          <w:highlight w:val="none"/>
        </w:rPr>
        <w:t>财政资金支付依据不充分</w:t>
      </w:r>
      <w:r>
        <w:rPr>
          <w:rFonts w:hint="eastAsia"/>
          <w:highlight w:val="none"/>
          <w:lang w:eastAsia="zh-CN"/>
        </w:rPr>
        <w:t>。</w:t>
      </w:r>
      <w:r>
        <w:rPr>
          <w:rFonts w:hint="eastAsia"/>
          <w:b/>
          <w:bCs/>
          <w:highlight w:val="none"/>
          <w:lang w:val="en-US" w:eastAsia="zh-CN"/>
        </w:rPr>
        <w:t>二是</w:t>
      </w:r>
      <w:r>
        <w:rPr>
          <w:rFonts w:hint="eastAsia"/>
          <w:highlight w:val="none"/>
          <w:lang w:val="en-US" w:eastAsia="zh-CN"/>
        </w:rPr>
        <w:t>各级物资未按批次建立台账管理，本项目分两批次进行采购，但是根据现场评价小组审查资料发现，由于部分物资短缺，项目单位进行第三次物资采购，这三批次物资存在混账管理，较难统计各批次物资余量和有效期。</w:t>
      </w:r>
    </w:p>
    <w:p>
      <w:pPr>
        <w:pStyle w:val="3"/>
        <w:numPr>
          <w:ilvl w:val="0"/>
          <w:numId w:val="0"/>
        </w:numPr>
        <w:spacing w:before="156" w:after="156"/>
        <w:ind w:leftChars="200"/>
        <w:rPr>
          <w:rFonts w:hint="eastAsia" w:ascii="Times New Roman" w:hAnsi="Times New Roman"/>
          <w:highlight w:val="none"/>
        </w:rPr>
      </w:pPr>
      <w:bookmarkStart w:id="30" w:name="_Toc13820"/>
      <w:r>
        <w:rPr>
          <w:rFonts w:hint="eastAsia" w:ascii="Times New Roman" w:hAnsi="Times New Roman"/>
          <w:highlight w:val="none"/>
          <w:lang w:val="en-US" w:eastAsia="zh-CN"/>
        </w:rPr>
        <w:t>（三）合同</w:t>
      </w:r>
      <w:r>
        <w:rPr>
          <w:rFonts w:hint="eastAsia" w:ascii="Times New Roman" w:hAnsi="Times New Roman"/>
          <w:highlight w:val="none"/>
        </w:rPr>
        <w:t>管理</w:t>
      </w:r>
      <w:r>
        <w:rPr>
          <w:rFonts w:hint="eastAsia" w:ascii="Times New Roman" w:hAnsi="Times New Roman"/>
          <w:highlight w:val="none"/>
          <w:lang w:val="en-US" w:eastAsia="zh-CN"/>
        </w:rPr>
        <w:t>不够规范</w:t>
      </w:r>
      <w:r>
        <w:rPr>
          <w:rFonts w:hint="eastAsia" w:ascii="Times New Roman" w:hAnsi="Times New Roman"/>
          <w:highlight w:val="none"/>
          <w:lang w:eastAsia="zh-CN"/>
        </w:rPr>
        <w:t>，</w:t>
      </w:r>
      <w:r>
        <w:rPr>
          <w:rFonts w:hint="eastAsia"/>
          <w:highlight w:val="none"/>
          <w:lang w:val="en-US" w:eastAsia="zh-CN"/>
        </w:rPr>
        <w:t>存在合同履约风险</w:t>
      </w:r>
      <w:bookmarkEnd w:id="30"/>
    </w:p>
    <w:p>
      <w:pPr>
        <w:rPr>
          <w:rFonts w:hint="eastAsia"/>
          <w:highlight w:val="none"/>
        </w:rPr>
      </w:pPr>
      <w:r>
        <w:rPr>
          <w:rFonts w:hint="eastAsia"/>
          <w:highlight w:val="none"/>
          <w:lang w:val="en-US" w:eastAsia="zh-CN"/>
        </w:rPr>
        <w:t>2022年项目单位分别与潮州市潮安区众好科技有限公司和吉安培风贸易有限公司两家公司签订采购合同，分两批采购应急物资，但</w:t>
      </w:r>
      <w:r>
        <w:rPr>
          <w:rFonts w:hint="eastAsia"/>
          <w:color w:val="auto"/>
          <w:highlight w:val="none"/>
          <w:lang w:val="en-US" w:eastAsia="zh-CN"/>
        </w:rPr>
        <w:t>存</w:t>
      </w:r>
      <w:r>
        <w:rPr>
          <w:rFonts w:hint="eastAsia" w:ascii="Times New Roman" w:hAnsi="Times New Roman" w:cs="Times New Roman"/>
          <w:color w:val="auto"/>
          <w:highlight w:val="none"/>
          <w:lang w:val="en-US" w:eastAsia="zh-CN"/>
        </w:rPr>
        <w:t>在合同</w:t>
      </w:r>
      <w:r>
        <w:rPr>
          <w:rFonts w:hint="default" w:ascii="Times New Roman" w:hAnsi="Times New Roman" w:cs="Times New Roman"/>
          <w:color w:val="auto"/>
          <w:highlight w:val="none"/>
          <w:lang w:val="en-US" w:eastAsia="zh-CN"/>
        </w:rPr>
        <w:t>履约管理不到位</w:t>
      </w:r>
      <w:r>
        <w:rPr>
          <w:rFonts w:hint="eastAsia" w:ascii="Times New Roman" w:hAnsi="Times New Roman" w:cs="Times New Roman"/>
          <w:color w:val="auto"/>
          <w:highlight w:val="none"/>
          <w:lang w:val="en-US" w:eastAsia="zh-CN"/>
        </w:rPr>
        <w:t>、合同签订条款不够完善等问题，项</w:t>
      </w:r>
      <w:r>
        <w:rPr>
          <w:rFonts w:hint="eastAsia"/>
          <w:color w:val="auto"/>
          <w:highlight w:val="none"/>
          <w:lang w:val="en-US" w:eastAsia="zh-CN"/>
        </w:rPr>
        <w:t>目管理工作不到位，影响项目的执行质量和效果</w:t>
      </w:r>
      <w:r>
        <w:rPr>
          <w:rFonts w:hint="eastAsia"/>
          <w:highlight w:val="none"/>
          <w:lang w:val="en-US" w:eastAsia="zh-CN"/>
        </w:rPr>
        <w:t>。</w:t>
      </w:r>
      <w:r>
        <w:rPr>
          <w:rFonts w:hint="eastAsia"/>
          <w:b/>
          <w:bCs/>
          <w:highlight w:val="none"/>
          <w:lang w:val="en-US" w:eastAsia="zh-CN"/>
        </w:rPr>
        <w:t>一是</w:t>
      </w:r>
      <w:r>
        <w:rPr>
          <w:rFonts w:hint="eastAsia" w:ascii="Times New Roman" w:hAnsi="Times New Roman" w:cs="Times New Roman"/>
          <w:color w:val="auto"/>
          <w:highlight w:val="none"/>
          <w:lang w:val="en-US" w:eastAsia="zh-CN"/>
        </w:rPr>
        <w:t>合同签订条款不够完善。</w:t>
      </w:r>
      <w:r>
        <w:rPr>
          <w:rFonts w:hint="eastAsia" w:cs="Times New Roman"/>
          <w:color w:val="auto"/>
          <w:highlight w:val="none"/>
          <w:lang w:val="en-US" w:eastAsia="zh-CN"/>
        </w:rPr>
        <w:t>根据第一批采购合同约定，</w:t>
      </w:r>
      <w:r>
        <w:rPr>
          <w:rFonts w:hint="eastAsia"/>
          <w:highlight w:val="none"/>
          <w:lang w:val="en-US" w:eastAsia="zh-CN"/>
        </w:rPr>
        <w:t>合同签订后项目单位应支付30%合同金额的预付款，货物验收后支付70%合同金额，2022年4月12日签订合同，2022年6月22日确认验收，但实际支付预付款时间为2022年5月13日，支付尾款时间为2022年7月25日，支付时间与合同约定有所滞后，但由于合同签订条款未约定实际支付时间以财政资金下拨时间为准，后续也未签订补充合同，存在合同履约风险的问题。</w:t>
      </w:r>
      <w:r>
        <w:rPr>
          <w:rFonts w:hint="eastAsia"/>
          <w:b/>
          <w:bCs/>
          <w:highlight w:val="none"/>
          <w:lang w:val="en-US" w:eastAsia="zh-CN"/>
        </w:rPr>
        <w:t>二是</w:t>
      </w:r>
      <w:r>
        <w:rPr>
          <w:rFonts w:hint="eastAsia"/>
          <w:b w:val="0"/>
          <w:bCs w:val="0"/>
          <w:highlight w:val="none"/>
          <w:lang w:val="en-US" w:eastAsia="zh-CN"/>
        </w:rPr>
        <w:t>合同管理履约管理不到位</w:t>
      </w:r>
      <w:r>
        <w:rPr>
          <w:rFonts w:hint="eastAsia"/>
          <w:b/>
          <w:bCs/>
          <w:highlight w:val="none"/>
          <w:lang w:val="en-US" w:eastAsia="zh-CN"/>
        </w:rPr>
        <w:t>。</w:t>
      </w:r>
      <w:r>
        <w:rPr>
          <w:rFonts w:hint="eastAsia"/>
          <w:highlight w:val="none"/>
          <w:lang w:val="en-US" w:eastAsia="zh-CN"/>
        </w:rPr>
        <w:t>供应商未能按合同约定交货，</w:t>
      </w:r>
      <w:r>
        <w:rPr>
          <w:rFonts w:hint="eastAsia" w:ascii="Times New Roman" w:hAnsi="Times New Roman" w:cs="Times New Roman"/>
          <w:b w:val="0"/>
          <w:bCs w:val="0"/>
          <w:caps w:val="0"/>
          <w:smallCaps w:val="0"/>
          <w:color w:val="auto"/>
          <w:sz w:val="32"/>
          <w:szCs w:val="32"/>
          <w:highlight w:val="none"/>
          <w:lang w:val="en-US" w:eastAsia="zh-CN"/>
        </w:rPr>
        <w:t>根据《潮安区区级公共卫生应急物资采购项目合同书》第四条约定“乙方应确保全部货物自采购合同生效之日起30个日历天内交货，安装、调试并交付验收使用”，</w:t>
      </w:r>
      <w:r>
        <w:rPr>
          <w:rFonts w:hint="eastAsia" w:cs="Times New Roman"/>
          <w:b w:val="0"/>
          <w:bCs w:val="0"/>
          <w:caps w:val="0"/>
          <w:smallCaps w:val="0"/>
          <w:color w:val="auto"/>
          <w:sz w:val="32"/>
          <w:szCs w:val="32"/>
          <w:highlight w:val="none"/>
          <w:lang w:val="en-US" w:eastAsia="zh-CN"/>
        </w:rPr>
        <w:t>该批次货物应在</w:t>
      </w:r>
      <w:r>
        <w:rPr>
          <w:rFonts w:hint="eastAsia"/>
          <w:highlight w:val="none"/>
          <w:lang w:val="en-US" w:eastAsia="zh-CN"/>
        </w:rPr>
        <w:t>2022年5月12日前交货验收，</w:t>
      </w:r>
      <w:r>
        <w:rPr>
          <w:rFonts w:hint="eastAsia" w:ascii="Times New Roman" w:hAnsi="Times New Roman" w:cs="Times New Roman"/>
          <w:b w:val="0"/>
          <w:bCs w:val="0"/>
          <w:caps w:val="0"/>
          <w:smallCaps w:val="0"/>
          <w:color w:val="auto"/>
          <w:sz w:val="32"/>
          <w:szCs w:val="32"/>
          <w:highlight w:val="none"/>
          <w:lang w:val="en-US" w:eastAsia="zh-CN"/>
        </w:rPr>
        <w:t>但</w:t>
      </w:r>
      <w:r>
        <w:rPr>
          <w:rFonts w:hint="eastAsia" w:cs="Times New Roman"/>
          <w:b w:val="0"/>
          <w:bCs w:val="0"/>
          <w:caps w:val="0"/>
          <w:smallCaps w:val="0"/>
          <w:color w:val="auto"/>
          <w:sz w:val="32"/>
          <w:szCs w:val="32"/>
          <w:highlight w:val="none"/>
          <w:lang w:val="en-US" w:eastAsia="zh-CN"/>
        </w:rPr>
        <w:t>根据现场评价小组询问得知，</w:t>
      </w:r>
      <w:r>
        <w:rPr>
          <w:rFonts w:hint="eastAsia" w:ascii="Times New Roman" w:hAnsi="Times New Roman" w:cs="Times New Roman"/>
          <w:b w:val="0"/>
          <w:bCs w:val="0"/>
          <w:caps w:val="0"/>
          <w:smallCaps w:val="0"/>
          <w:color w:val="auto"/>
          <w:sz w:val="32"/>
          <w:szCs w:val="32"/>
          <w:highlight w:val="none"/>
          <w:lang w:val="en-US" w:eastAsia="zh-CN"/>
        </w:rPr>
        <w:t>由于供应商交付货物与合同约定规格不符，后续退回重新补货，因此导致物资验收时间滞后。第二批次采购物资也存在同样的问题，影响潮安区应急物资储备进度</w:t>
      </w:r>
      <w:r>
        <w:rPr>
          <w:rFonts w:hint="eastAsia"/>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ind w:left="640" w:leftChars="200" w:firstLine="0" w:firstLineChars="0"/>
        <w:textAlignment w:val="auto"/>
        <w:outlineLvl w:val="1"/>
        <w:rPr>
          <w:highlight w:val="none"/>
        </w:rPr>
      </w:pPr>
      <w:bookmarkStart w:id="31" w:name="_Toc20779"/>
      <w:r>
        <w:rPr>
          <w:rFonts w:hint="eastAsia" w:eastAsia="楷体_GB2312"/>
          <w:b/>
          <w:bCs/>
          <w:highlight w:val="none"/>
          <w:lang w:eastAsia="zh-CN"/>
        </w:rPr>
        <w:t>（</w:t>
      </w:r>
      <w:r>
        <w:rPr>
          <w:rFonts w:hint="eastAsia" w:eastAsia="楷体_GB2312"/>
          <w:b/>
          <w:bCs/>
          <w:highlight w:val="none"/>
          <w:lang w:val="en-US" w:eastAsia="zh-CN"/>
        </w:rPr>
        <w:t>四</w:t>
      </w:r>
      <w:r>
        <w:rPr>
          <w:rFonts w:hint="eastAsia" w:eastAsia="楷体_GB2312"/>
          <w:b/>
          <w:bCs/>
          <w:highlight w:val="none"/>
          <w:lang w:eastAsia="zh-CN"/>
        </w:rPr>
        <w:t>）</w:t>
      </w:r>
      <w:r>
        <w:rPr>
          <w:rFonts w:eastAsia="楷体_GB2312"/>
          <w:b/>
          <w:bCs/>
          <w:highlight w:val="none"/>
        </w:rPr>
        <w:t>项目管理</w:t>
      </w:r>
      <w:r>
        <w:rPr>
          <w:rFonts w:hint="eastAsia" w:eastAsia="楷体_GB2312"/>
          <w:b/>
          <w:bCs/>
          <w:highlight w:val="none"/>
          <w:lang w:val="en-US" w:eastAsia="zh-CN"/>
        </w:rPr>
        <w:t>制度不够健全</w:t>
      </w:r>
      <w:r>
        <w:rPr>
          <w:rFonts w:eastAsia="楷体_GB2312"/>
          <w:b/>
          <w:bCs/>
          <w:highlight w:val="none"/>
        </w:rPr>
        <w:t>，过程监管有待加强</w:t>
      </w:r>
      <w:bookmarkEnd w:id="3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pPr>
      <w:r>
        <w:rPr>
          <w:rFonts w:hint="eastAsia" w:ascii="Times New Roman" w:hAnsi="Times New Roman" w:cs="Times New Roman"/>
          <w:b w:val="0"/>
          <w:bCs w:val="0"/>
          <w:caps w:val="0"/>
          <w:smallCaps w:val="0"/>
          <w:color w:val="auto"/>
          <w:kern w:val="2"/>
          <w:sz w:val="32"/>
          <w:szCs w:val="32"/>
          <w:highlight w:val="none"/>
          <w:lang w:val="en-US" w:eastAsia="zh-CN" w:bidi="ar-SA"/>
        </w:rPr>
        <w:t>虽然</w:t>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t>项目单位</w:t>
      </w:r>
      <w:r>
        <w:rPr>
          <w:rFonts w:hint="eastAsia" w:ascii="Times New Roman" w:hAnsi="Times New Roman" w:cs="Times New Roman"/>
          <w:b w:val="0"/>
          <w:bCs w:val="0"/>
          <w:caps w:val="0"/>
          <w:smallCaps w:val="0"/>
          <w:color w:val="auto"/>
          <w:kern w:val="2"/>
          <w:sz w:val="32"/>
          <w:szCs w:val="32"/>
          <w:highlight w:val="none"/>
          <w:lang w:val="en-US" w:eastAsia="zh-CN" w:bidi="ar-SA"/>
        </w:rPr>
        <w:t>建立了《潮安区级应急物资储备调拨使用管理工作制度》，但</w:t>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t>未建立《</w:t>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fldChar w:fldCharType="begin"/>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instrText xml:space="preserve"> HYPERLINK "https://wenku.so.com/d/270fa0cc787b4717c83c299bb9f59fe8" \t "https://www.so.com/_blank" </w:instrText>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fldChar w:fldCharType="separate"/>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t>应急物资储备仓库管理制度</w:t>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fldChar w:fldCharType="end"/>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t>》</w:t>
      </w:r>
      <w:r>
        <w:rPr>
          <w:rFonts w:hint="eastAsia" w:ascii="Times New Roman" w:hAnsi="Times New Roman" w:cs="Times New Roman"/>
          <w:b w:val="0"/>
          <w:bCs w:val="0"/>
          <w:caps w:val="0"/>
          <w:smallCaps w:val="0"/>
          <w:color w:val="auto"/>
          <w:kern w:val="2"/>
          <w:sz w:val="32"/>
          <w:szCs w:val="32"/>
          <w:highlight w:val="none"/>
          <w:lang w:val="en-US" w:eastAsia="zh-CN" w:bidi="ar-SA"/>
        </w:rPr>
        <w:t>，对</w:t>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t>于应急物资管理和使用欠缺规范，未约定</w:t>
      </w:r>
      <w:r>
        <w:rPr>
          <w:rFonts w:hint="eastAsia" w:ascii="Times New Roman" w:hAnsi="Times New Roman" w:cs="Times New Roman"/>
          <w:b w:val="0"/>
          <w:bCs w:val="0"/>
          <w:caps w:val="0"/>
          <w:smallCaps w:val="0"/>
          <w:color w:val="auto"/>
          <w:kern w:val="2"/>
          <w:sz w:val="32"/>
          <w:szCs w:val="32"/>
          <w:highlight w:val="none"/>
          <w:lang w:val="en-US" w:eastAsia="zh-CN" w:bidi="ar-SA"/>
        </w:rPr>
        <w:t>物资储存管理规定、物资堆放原则、仓库保管员的责任等重要内容，项目单位的管理水平有待</w:t>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t>提高，过程监管</w:t>
      </w:r>
      <w:r>
        <w:rPr>
          <w:rFonts w:hint="eastAsia" w:cs="Times New Roman"/>
          <w:b w:val="0"/>
          <w:bCs w:val="0"/>
          <w:caps w:val="0"/>
          <w:smallCaps w:val="0"/>
          <w:color w:val="auto"/>
          <w:kern w:val="2"/>
          <w:sz w:val="32"/>
          <w:szCs w:val="32"/>
          <w:highlight w:val="none"/>
          <w:lang w:val="en-US" w:eastAsia="zh-CN" w:bidi="ar-SA"/>
        </w:rPr>
        <w:t>能力</w:t>
      </w:r>
      <w:r>
        <w:rPr>
          <w:rFonts w:hint="eastAsia" w:ascii="Times New Roman" w:hAnsi="Times New Roman" w:eastAsia="仿宋_GB2312" w:cs="Times New Roman"/>
          <w:b w:val="0"/>
          <w:bCs w:val="0"/>
          <w:caps w:val="0"/>
          <w:smallCaps w:val="0"/>
          <w:color w:val="auto"/>
          <w:kern w:val="2"/>
          <w:sz w:val="32"/>
          <w:szCs w:val="32"/>
          <w:highlight w:val="none"/>
          <w:lang w:val="en-US" w:eastAsia="zh-CN" w:bidi="ar-SA"/>
        </w:rPr>
        <w:t>有待加强。</w:t>
      </w:r>
    </w:p>
    <w:p>
      <w:pPr>
        <w:pStyle w:val="2"/>
        <w:spacing w:before="156" w:after="156"/>
        <w:ind w:firstLine="640"/>
        <w:rPr>
          <w:rFonts w:ascii="Times New Roman" w:hAnsi="Times New Roman"/>
          <w:highlight w:val="none"/>
        </w:rPr>
      </w:pPr>
      <w:bookmarkStart w:id="32" w:name="_Toc9052"/>
      <w:bookmarkStart w:id="33" w:name="_Toc14891"/>
      <w:r>
        <w:rPr>
          <w:rFonts w:hint="eastAsia" w:ascii="Times New Roman" w:hAnsi="Times New Roman"/>
          <w:highlight w:val="none"/>
        </w:rPr>
        <w:t>六、对策建议</w:t>
      </w:r>
      <w:bookmarkEnd w:id="32"/>
      <w:bookmarkEnd w:id="33"/>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643" w:firstLineChars="200"/>
        <w:textAlignment w:val="auto"/>
        <w:outlineLvl w:val="1"/>
        <w:rPr>
          <w:rFonts w:hint="eastAsia" w:ascii="Times New Roman" w:hAnsi="Times New Roman" w:eastAsia="仿宋_GB2312" w:cs="楷体_GB2312"/>
          <w:b/>
          <w:bCs/>
          <w:caps w:val="0"/>
          <w:smallCaps w:val="0"/>
          <w:color w:val="auto"/>
          <w:kern w:val="2"/>
          <w:sz w:val="32"/>
          <w:szCs w:val="22"/>
          <w:highlight w:val="none"/>
          <w:lang w:val="en-US" w:eastAsia="zh-CN" w:bidi="ar-SA"/>
        </w:rPr>
      </w:pPr>
      <w:bookmarkStart w:id="34" w:name="_Toc6579"/>
      <w:bookmarkStart w:id="35" w:name="_Toc280"/>
      <w:r>
        <w:rPr>
          <w:rFonts w:hint="eastAsia" w:ascii="Times New Roman" w:hAnsi="Times New Roman" w:eastAsia="楷体_GB2312" w:cs="楷体_GB2312"/>
          <w:b/>
          <w:bCs/>
          <w:caps w:val="0"/>
          <w:smallCaps w:val="0"/>
          <w:color w:val="auto"/>
          <w:kern w:val="2"/>
          <w:sz w:val="32"/>
          <w:szCs w:val="22"/>
          <w:highlight w:val="none"/>
          <w:lang w:val="en-US" w:eastAsia="zh-CN" w:bidi="ar-SA"/>
        </w:rPr>
        <w:t>（</w:t>
      </w:r>
      <w:r>
        <w:rPr>
          <w:rFonts w:hint="eastAsia" w:eastAsia="楷体_GB2312" w:cs="楷体_GB2312"/>
          <w:b/>
          <w:bCs/>
          <w:caps w:val="0"/>
          <w:smallCaps w:val="0"/>
          <w:color w:val="auto"/>
          <w:kern w:val="2"/>
          <w:sz w:val="32"/>
          <w:szCs w:val="22"/>
          <w:highlight w:val="none"/>
          <w:lang w:val="en-US" w:eastAsia="zh-CN" w:bidi="ar-SA"/>
        </w:rPr>
        <w:t>一</w:t>
      </w:r>
      <w:r>
        <w:rPr>
          <w:rFonts w:hint="eastAsia" w:ascii="Times New Roman" w:hAnsi="Times New Roman" w:eastAsia="楷体_GB2312" w:cs="楷体_GB2312"/>
          <w:b/>
          <w:bCs/>
          <w:caps w:val="0"/>
          <w:smallCaps w:val="0"/>
          <w:color w:val="auto"/>
          <w:kern w:val="2"/>
          <w:sz w:val="32"/>
          <w:szCs w:val="22"/>
          <w:highlight w:val="none"/>
          <w:lang w:val="en-US" w:eastAsia="zh-CN" w:bidi="ar-SA"/>
        </w:rPr>
        <w:t>）规范记账完善附件</w:t>
      </w:r>
      <w:r>
        <w:rPr>
          <w:rFonts w:hint="eastAsia" w:ascii="Times New Roman" w:hAnsi="Times New Roman"/>
          <w:caps w:val="0"/>
          <w:smallCaps w:val="0"/>
          <w:highlight w:val="none"/>
          <w:lang w:eastAsia="zh-CN"/>
        </w:rPr>
        <w:t>，</w:t>
      </w:r>
      <w:r>
        <w:rPr>
          <w:rFonts w:hint="eastAsia" w:ascii="Times New Roman" w:hAnsi="Times New Roman" w:eastAsia="楷体_GB2312" w:cs="楷体_GB2312"/>
          <w:b/>
          <w:bCs/>
          <w:caps w:val="0"/>
          <w:smallCaps w:val="0"/>
          <w:color w:val="auto"/>
          <w:kern w:val="2"/>
          <w:sz w:val="32"/>
          <w:szCs w:val="22"/>
          <w:highlight w:val="none"/>
          <w:lang w:val="en-US" w:eastAsia="zh-CN" w:bidi="ar-SA"/>
        </w:rPr>
        <w:t>加强项目财务管理</w:t>
      </w:r>
      <w:bookmarkEnd w:id="34"/>
      <w:bookmarkEnd w:id="35"/>
    </w:p>
    <w:p>
      <w:pPr>
        <w:ind w:firstLine="643"/>
        <w:rPr>
          <w:rFonts w:hint="eastAsia" w:ascii="Times New Roman" w:hAnsi="Times New Roman"/>
          <w:caps w:val="0"/>
          <w:smallCaps w:val="0"/>
        </w:rPr>
      </w:pPr>
      <w:r>
        <w:rPr>
          <w:rFonts w:hint="eastAsia" w:ascii="Times New Roman" w:hAnsi="Times New Roman" w:eastAsia="仿宋-GB2312"/>
          <w:caps w:val="0"/>
          <w:smallCaps w:val="0"/>
          <w:highlight w:val="none"/>
          <w:lang w:val="en-US" w:eastAsia="zh-CN"/>
        </w:rPr>
        <w:t>建议项目单位严格按照</w:t>
      </w:r>
      <w:r>
        <w:rPr>
          <w:rFonts w:hint="eastAsia" w:ascii="Times New Roman" w:hAnsi="Times New Roman" w:eastAsia="仿宋-GB2312" w:cs="Times New Roman"/>
          <w:caps w:val="0"/>
          <w:smallCaps w:val="0"/>
          <w:highlight w:val="none"/>
          <w:lang w:val="en-US" w:eastAsia="zh-CN"/>
        </w:rPr>
        <w:t>《政府会计准则》（财政部令第78号）及《中华人民共和国会计法》（中华人民共和国主席令第81号）要求，根据实际发生的经济业务事项进行会计核算，填制会计凭证，登记会计账簿，同时完善记账凭证附件；此外，还应</w:t>
      </w:r>
      <w:r>
        <w:rPr>
          <w:rFonts w:hint="eastAsia" w:ascii="Times New Roman" w:hAnsi="Times New Roman"/>
          <w:caps w:val="0"/>
          <w:smallCaps w:val="0"/>
          <w:highlight w:val="none"/>
        </w:rPr>
        <w:t>加强对财务人员的培训，提升财务人员专业性</w:t>
      </w:r>
      <w:r>
        <w:rPr>
          <w:rFonts w:hint="eastAsia" w:ascii="Times New Roman" w:hAnsi="Times New Roman"/>
          <w:caps w:val="0"/>
          <w:smallCaps w:val="0"/>
          <w:highlight w:val="none"/>
          <w:lang w:eastAsia="zh-CN"/>
        </w:rPr>
        <w:t>，</w:t>
      </w:r>
      <w:r>
        <w:rPr>
          <w:rFonts w:hint="eastAsia" w:ascii="Times New Roman" w:hAnsi="Times New Roman"/>
          <w:caps w:val="0"/>
          <w:smallCaps w:val="0"/>
          <w:highlight w:val="none"/>
        </w:rPr>
        <w:t>设置财务内控制度，加强内控及过程监控，提升</w:t>
      </w:r>
      <w:r>
        <w:rPr>
          <w:rFonts w:hint="eastAsia" w:ascii="Times New Roman" w:hAnsi="Times New Roman"/>
          <w:caps w:val="0"/>
          <w:smallCaps w:val="0"/>
        </w:rPr>
        <w:t>财务管理水平。</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ascii="Times New Roman" w:hAnsi="Times New Roman" w:eastAsia="仿宋-GB2312" w:cs="Times New Roman"/>
          <w:b w:val="0"/>
          <w:bCs w:val="0"/>
          <w:caps w:val="0"/>
          <w:smallCaps w:val="0"/>
          <w:highlight w:val="none"/>
          <w:lang w:val="en-US" w:eastAsia="zh-CN"/>
        </w:rPr>
      </w:pPr>
      <w:r>
        <w:rPr>
          <w:rFonts w:hint="eastAsia" w:ascii="Times New Roman" w:hAnsi="Times New Roman" w:eastAsia="仿宋-GB2312" w:cs="Times New Roman"/>
          <w:b w:val="0"/>
          <w:bCs w:val="0"/>
          <w:caps w:val="0"/>
          <w:smallCaps w:val="0"/>
          <w:highlight w:val="none"/>
          <w:lang w:val="en-US" w:eastAsia="zh-CN"/>
        </w:rPr>
        <w:t>同时</w:t>
      </w:r>
      <w:r>
        <w:rPr>
          <w:rFonts w:hint="eastAsia" w:ascii="Times New Roman" w:hAnsi="Times New Roman" w:eastAsia="仿宋_GB2312" w:cs="Times New Roman"/>
          <w:b w:val="0"/>
          <w:bCs w:val="0"/>
          <w:caps w:val="0"/>
          <w:smallCaps w:val="0"/>
          <w:kern w:val="2"/>
          <w:sz w:val="32"/>
          <w:szCs w:val="24"/>
          <w:lang w:val="en-US" w:eastAsia="zh-CN" w:bidi="ar-SA"/>
        </w:rPr>
        <w:t>，</w:t>
      </w:r>
      <w:bookmarkStart w:id="36" w:name="_Toc8463"/>
      <w:r>
        <w:rPr>
          <w:rFonts w:hint="eastAsia" w:ascii="Times New Roman" w:hAnsi="Times New Roman" w:eastAsia="仿宋_GB2312" w:cs="Times New Roman"/>
          <w:b w:val="0"/>
          <w:bCs w:val="0"/>
          <w:caps w:val="0"/>
          <w:smallCaps w:val="0"/>
          <w:kern w:val="2"/>
          <w:sz w:val="32"/>
          <w:szCs w:val="24"/>
          <w:lang w:val="en-US" w:eastAsia="zh-CN" w:bidi="ar-SA"/>
        </w:rPr>
        <w:t>项目单位应按照《专项资金管理办法》和《广东省人民政府关于印发</w:t>
      </w:r>
      <w:r>
        <w:rPr>
          <w:rFonts w:hint="eastAsia" w:ascii="Times New Roman" w:hAnsi="Times New Roman" w:eastAsia="仿宋_GB2312" w:cs="Times New Roman"/>
          <w:b w:val="0"/>
          <w:bCs w:val="0"/>
          <w:caps w:val="0"/>
          <w:smallCaps w:val="0"/>
          <w:kern w:val="2"/>
          <w:sz w:val="32"/>
          <w:szCs w:val="24"/>
          <w:lang w:val="en-US" w:eastAsia="zh-CN" w:bidi="ar-SA"/>
        </w:rPr>
        <w:fldChar w:fldCharType="begin"/>
      </w:r>
      <w:r>
        <w:rPr>
          <w:rFonts w:hint="eastAsia" w:ascii="Times New Roman" w:hAnsi="Times New Roman" w:eastAsia="仿宋_GB2312" w:cs="Times New Roman"/>
          <w:b w:val="0"/>
          <w:bCs w:val="0"/>
          <w:caps w:val="0"/>
          <w:smallCaps w:val="0"/>
          <w:kern w:val="2"/>
          <w:sz w:val="32"/>
          <w:szCs w:val="24"/>
          <w:lang w:val="en-US" w:eastAsia="zh-CN" w:bidi="ar-SA"/>
        </w:rPr>
        <w:instrText xml:space="preserve"> HYPERLINK "https://www.waizi.org.cn/policy/63792.html" \o "粤府〔2018〕120号《广东省省级财政专项资金管理办法（试行）》" \t "https://www.waizi.org.cn/policy/_blank" </w:instrText>
      </w:r>
      <w:r>
        <w:rPr>
          <w:rFonts w:hint="eastAsia" w:ascii="Times New Roman" w:hAnsi="Times New Roman" w:eastAsia="仿宋_GB2312" w:cs="Times New Roman"/>
          <w:b w:val="0"/>
          <w:bCs w:val="0"/>
          <w:caps w:val="0"/>
          <w:smallCaps w:val="0"/>
          <w:kern w:val="2"/>
          <w:sz w:val="32"/>
          <w:szCs w:val="24"/>
          <w:lang w:val="en-US" w:eastAsia="zh-CN" w:bidi="ar-SA"/>
        </w:rPr>
        <w:fldChar w:fldCharType="separate"/>
      </w:r>
      <w:r>
        <w:rPr>
          <w:rFonts w:hint="eastAsia" w:ascii="Times New Roman" w:hAnsi="Times New Roman" w:eastAsia="仿宋_GB2312" w:cs="Times New Roman"/>
          <w:b w:val="0"/>
          <w:bCs w:val="0"/>
          <w:caps w:val="0"/>
          <w:smallCaps w:val="0"/>
          <w:kern w:val="2"/>
          <w:sz w:val="32"/>
          <w:szCs w:val="24"/>
          <w:lang w:val="en-US" w:eastAsia="zh-CN" w:bidi="ar-SA"/>
        </w:rPr>
        <w:t>广东省省级财政专项资金管理办法（试行）</w:t>
      </w:r>
      <w:r>
        <w:rPr>
          <w:rFonts w:hint="eastAsia" w:ascii="Times New Roman" w:hAnsi="Times New Roman" w:eastAsia="仿宋_GB2312" w:cs="Times New Roman"/>
          <w:b w:val="0"/>
          <w:bCs w:val="0"/>
          <w:caps w:val="0"/>
          <w:smallCaps w:val="0"/>
          <w:kern w:val="2"/>
          <w:sz w:val="32"/>
          <w:szCs w:val="24"/>
          <w:lang w:val="en-US" w:eastAsia="zh-CN" w:bidi="ar-SA"/>
        </w:rPr>
        <w:fldChar w:fldCharType="end"/>
      </w:r>
      <w:r>
        <w:rPr>
          <w:rFonts w:hint="eastAsia" w:ascii="Times New Roman" w:hAnsi="Times New Roman" w:eastAsia="仿宋_GB2312" w:cs="Times New Roman"/>
          <w:b w:val="0"/>
          <w:bCs w:val="0"/>
          <w:caps w:val="0"/>
          <w:smallCaps w:val="0"/>
          <w:kern w:val="2"/>
          <w:sz w:val="32"/>
          <w:szCs w:val="24"/>
          <w:lang w:val="en-US" w:eastAsia="zh-CN" w:bidi="ar-SA"/>
        </w:rPr>
        <w:t>的通知》（</w:t>
      </w:r>
      <w:r>
        <w:rPr>
          <w:rFonts w:hint="eastAsia" w:ascii="Times New Roman" w:hAnsi="Times New Roman" w:eastAsia="仿宋_GB2312" w:cs="Times New Roman"/>
          <w:b w:val="0"/>
          <w:bCs w:val="0"/>
          <w:caps w:val="0"/>
          <w:smallCaps w:val="0"/>
          <w:kern w:val="2"/>
          <w:sz w:val="32"/>
          <w:szCs w:val="24"/>
          <w:lang w:val="en-US" w:eastAsia="zh-CN" w:bidi="ar-SA"/>
        </w:rPr>
        <w:fldChar w:fldCharType="begin"/>
      </w:r>
      <w:r>
        <w:rPr>
          <w:rFonts w:hint="eastAsia" w:ascii="Times New Roman" w:hAnsi="Times New Roman" w:eastAsia="仿宋_GB2312" w:cs="Times New Roman"/>
          <w:b w:val="0"/>
          <w:bCs w:val="0"/>
          <w:caps w:val="0"/>
          <w:smallCaps w:val="0"/>
          <w:kern w:val="2"/>
          <w:sz w:val="32"/>
          <w:szCs w:val="24"/>
          <w:lang w:val="en-US" w:eastAsia="zh-CN" w:bidi="ar-SA"/>
        </w:rPr>
        <w:instrText xml:space="preserve"> HYPERLINK "https://www.waizi.org.cn/policy/63792.html" \o "粤府〔2018〕120号《广东省省级财政专项资金管理办法（试行）》" \t "https://www.waizi.org.cn/policy/_blank" </w:instrText>
      </w:r>
      <w:r>
        <w:rPr>
          <w:rFonts w:hint="eastAsia" w:ascii="Times New Roman" w:hAnsi="Times New Roman" w:eastAsia="仿宋_GB2312" w:cs="Times New Roman"/>
          <w:b w:val="0"/>
          <w:bCs w:val="0"/>
          <w:caps w:val="0"/>
          <w:smallCaps w:val="0"/>
          <w:kern w:val="2"/>
          <w:sz w:val="32"/>
          <w:szCs w:val="24"/>
          <w:lang w:val="en-US" w:eastAsia="zh-CN" w:bidi="ar-SA"/>
        </w:rPr>
        <w:fldChar w:fldCharType="separate"/>
      </w:r>
      <w:r>
        <w:rPr>
          <w:rFonts w:hint="eastAsia" w:ascii="Times New Roman" w:hAnsi="Times New Roman" w:eastAsia="仿宋_GB2312" w:cs="Times New Roman"/>
          <w:b w:val="0"/>
          <w:bCs w:val="0"/>
          <w:caps w:val="0"/>
          <w:smallCaps w:val="0"/>
          <w:kern w:val="2"/>
          <w:sz w:val="32"/>
          <w:szCs w:val="24"/>
          <w:lang w:val="en-US" w:eastAsia="zh-CN" w:bidi="ar-SA"/>
        </w:rPr>
        <w:t>粤府〔2018〕120号</w:t>
      </w:r>
      <w:r>
        <w:rPr>
          <w:rFonts w:hint="eastAsia" w:ascii="Times New Roman" w:hAnsi="Times New Roman" w:eastAsia="仿宋_GB2312" w:cs="Times New Roman"/>
          <w:b w:val="0"/>
          <w:bCs w:val="0"/>
          <w:caps w:val="0"/>
          <w:smallCaps w:val="0"/>
          <w:kern w:val="2"/>
          <w:sz w:val="32"/>
          <w:szCs w:val="24"/>
          <w:lang w:val="en-US" w:eastAsia="zh-CN" w:bidi="ar-SA"/>
        </w:rPr>
        <w:fldChar w:fldCharType="end"/>
      </w:r>
      <w:r>
        <w:rPr>
          <w:rFonts w:hint="eastAsia" w:ascii="Times New Roman" w:hAnsi="Times New Roman" w:eastAsia="仿宋_GB2312" w:cs="Times New Roman"/>
          <w:b w:val="0"/>
          <w:bCs w:val="0"/>
          <w:caps w:val="0"/>
          <w:smallCaps w:val="0"/>
          <w:kern w:val="2"/>
          <w:sz w:val="32"/>
          <w:szCs w:val="24"/>
          <w:lang w:val="en-US" w:eastAsia="zh-CN" w:bidi="ar-SA"/>
        </w:rPr>
        <w:t>）要求，</w:t>
      </w:r>
      <w:r>
        <w:rPr>
          <w:rFonts w:hint="eastAsia" w:cs="Times New Roman"/>
          <w:b w:val="0"/>
          <w:bCs w:val="0"/>
          <w:caps w:val="0"/>
          <w:smallCaps w:val="0"/>
          <w:kern w:val="2"/>
          <w:sz w:val="32"/>
          <w:szCs w:val="24"/>
          <w:lang w:val="en-US" w:eastAsia="zh-CN" w:bidi="ar-SA"/>
        </w:rPr>
        <w:t>设置专账</w:t>
      </w:r>
      <w:r>
        <w:rPr>
          <w:rFonts w:hint="eastAsia" w:ascii="Times New Roman" w:hAnsi="Times New Roman" w:eastAsia="仿宋_GB2312" w:cs="Times New Roman"/>
          <w:b w:val="0"/>
          <w:bCs w:val="0"/>
          <w:caps w:val="0"/>
          <w:smallCaps w:val="0"/>
          <w:kern w:val="2"/>
          <w:sz w:val="32"/>
          <w:szCs w:val="24"/>
          <w:lang w:val="en-US" w:eastAsia="zh-Hans" w:bidi="ar-SA"/>
        </w:rPr>
        <w:t>核算</w:t>
      </w:r>
      <w:r>
        <w:rPr>
          <w:rFonts w:hint="eastAsia" w:ascii="Times New Roman" w:hAnsi="Times New Roman" w:eastAsia="仿宋_GB2312" w:cs="Times New Roman"/>
          <w:b w:val="0"/>
          <w:bCs w:val="0"/>
          <w:caps w:val="0"/>
          <w:smallCaps w:val="0"/>
          <w:kern w:val="2"/>
          <w:sz w:val="32"/>
          <w:szCs w:val="24"/>
          <w:lang w:val="en-US" w:eastAsia="zh-CN" w:bidi="ar-SA"/>
        </w:rPr>
        <w:t>，确保专款专用，切实加强和规范财政专户资金管理及使用，筑牢财政资金安全根基，确保财政专户资金的安全、规范、高效运行。</w:t>
      </w:r>
    </w:p>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156" w:afterAutospacing="0" w:line="560" w:lineRule="exact"/>
        <w:ind w:left="0" w:right="0" w:firstLine="643"/>
        <w:jc w:val="both"/>
        <w:textAlignment w:val="auto"/>
        <w:outlineLvl w:val="1"/>
        <w:rPr>
          <w:rFonts w:hint="eastAsia" w:ascii="Times New Roman" w:hAnsi="Times New Roman" w:eastAsia="楷体_GB2312" w:cstheme="majorBidi"/>
          <w:b/>
          <w:bCs/>
          <w:kern w:val="2"/>
          <w:sz w:val="32"/>
          <w:szCs w:val="32"/>
          <w:highlight w:val="none"/>
          <w:lang w:val="en-US" w:eastAsia="zh-CN" w:bidi="ar-SA"/>
        </w:rPr>
      </w:pPr>
      <w:bookmarkStart w:id="37" w:name="_Toc3310"/>
      <w:r>
        <w:rPr>
          <w:rFonts w:hint="eastAsia" w:ascii="Times New Roman" w:hAnsi="Times New Roman" w:eastAsia="楷体_GB2312" w:cstheme="majorBidi"/>
          <w:b/>
          <w:bCs/>
          <w:kern w:val="2"/>
          <w:sz w:val="32"/>
          <w:szCs w:val="32"/>
          <w:highlight w:val="none"/>
          <w:lang w:val="en-US" w:eastAsia="zh-CN" w:bidi="ar-SA"/>
        </w:rPr>
        <w:t>（二）</w:t>
      </w:r>
      <w:bookmarkEnd w:id="36"/>
      <w:r>
        <w:rPr>
          <w:rFonts w:hint="eastAsia" w:ascii="Times New Roman" w:hAnsi="Times New Roman" w:eastAsia="楷体_GB2312" w:cstheme="majorBidi"/>
          <w:b/>
          <w:bCs/>
          <w:kern w:val="2"/>
          <w:sz w:val="32"/>
          <w:szCs w:val="32"/>
          <w:highlight w:val="none"/>
          <w:lang w:val="en-US" w:eastAsia="zh-CN" w:bidi="ar-SA"/>
        </w:rPr>
        <w:t>强化资金预算管控，做好分批次储备管理</w:t>
      </w:r>
      <w:bookmarkEnd w:id="37"/>
    </w:p>
    <w:p>
      <w:pPr>
        <w:ind w:firstLine="640"/>
        <w:rPr>
          <w:rFonts w:hint="eastAsia" w:ascii="Times New Roman" w:hAnsi="Times New Roman" w:eastAsia="仿宋_GB2312" w:cs="Times New Roman"/>
          <w:b w:val="0"/>
          <w:bCs w:val="0"/>
          <w:caps w:val="0"/>
          <w:smallCaps w:val="0"/>
          <w:kern w:val="2"/>
          <w:sz w:val="32"/>
          <w:szCs w:val="24"/>
          <w:lang w:val="en-US" w:eastAsia="zh-CN" w:bidi="ar-SA"/>
        </w:rPr>
      </w:pPr>
      <w:r>
        <w:rPr>
          <w:rFonts w:hint="eastAsia" w:ascii="Times New Roman" w:hAnsi="Times New Roman" w:cs="Times New Roman"/>
          <w:b/>
          <w:bCs/>
          <w:caps w:val="0"/>
          <w:smallCaps w:val="0"/>
          <w:kern w:val="2"/>
          <w:sz w:val="32"/>
          <w:szCs w:val="24"/>
          <w:lang w:val="en-US" w:eastAsia="zh-CN" w:bidi="ar-SA"/>
        </w:rPr>
        <w:t>一是</w:t>
      </w:r>
      <w:r>
        <w:rPr>
          <w:rFonts w:hint="eastAsia" w:ascii="Times New Roman" w:hAnsi="Times New Roman" w:cs="Times New Roman"/>
          <w:b w:val="0"/>
          <w:bCs w:val="0"/>
          <w:caps w:val="0"/>
          <w:smallCaps w:val="0"/>
          <w:kern w:val="2"/>
          <w:sz w:val="32"/>
          <w:szCs w:val="24"/>
          <w:lang w:val="en-US" w:eastAsia="zh-CN" w:bidi="ar-SA"/>
        </w:rPr>
        <w:t>提高资金预算精度。项目单位</w:t>
      </w:r>
      <w:r>
        <w:rPr>
          <w:rFonts w:hint="eastAsia" w:ascii="Times New Roman" w:hAnsi="Times New Roman" w:eastAsia="仿宋_GB2312" w:cs="Times New Roman"/>
          <w:b w:val="0"/>
          <w:bCs w:val="0"/>
          <w:caps w:val="0"/>
          <w:smallCaps w:val="0"/>
          <w:kern w:val="2"/>
          <w:sz w:val="32"/>
          <w:szCs w:val="24"/>
          <w:lang w:val="en-US" w:eastAsia="zh-CN" w:bidi="ar-SA"/>
        </w:rPr>
        <w:t>明确货源后采取书面询价方式，不低于三家供应商，在质量保障和货源充足的基础上选择价格低的供应商</w:t>
      </w:r>
      <w:r>
        <w:rPr>
          <w:rFonts w:hint="eastAsia" w:ascii="Times New Roman" w:hAnsi="Times New Roman" w:cs="Times New Roman"/>
          <w:b w:val="0"/>
          <w:bCs w:val="0"/>
          <w:caps w:val="0"/>
          <w:smallCaps w:val="0"/>
          <w:kern w:val="2"/>
          <w:sz w:val="32"/>
          <w:szCs w:val="24"/>
          <w:lang w:val="en-US" w:eastAsia="zh-CN" w:bidi="ar-SA"/>
        </w:rPr>
        <w:t>（</w:t>
      </w:r>
      <w:r>
        <w:rPr>
          <w:rFonts w:hint="eastAsia" w:ascii="Times New Roman" w:hAnsi="Times New Roman" w:eastAsia="仿宋_GB2312" w:cs="Times New Roman"/>
          <w:b w:val="0"/>
          <w:bCs w:val="0"/>
          <w:caps w:val="0"/>
          <w:smallCaps w:val="0"/>
          <w:kern w:val="2"/>
          <w:sz w:val="32"/>
          <w:szCs w:val="24"/>
          <w:lang w:val="en-US" w:eastAsia="zh-CN" w:bidi="ar-SA"/>
        </w:rPr>
        <w:t>报价单及询价单</w:t>
      </w:r>
      <w:r>
        <w:rPr>
          <w:rFonts w:hint="eastAsia" w:ascii="Times New Roman" w:hAnsi="Times New Roman" w:cs="Times New Roman"/>
          <w:b w:val="0"/>
          <w:bCs w:val="0"/>
          <w:caps w:val="0"/>
          <w:smallCaps w:val="0"/>
          <w:kern w:val="2"/>
          <w:sz w:val="32"/>
          <w:szCs w:val="24"/>
          <w:lang w:val="en-US" w:eastAsia="zh-CN" w:bidi="ar-SA"/>
        </w:rPr>
        <w:t>），并对询价后的价格应该进一步核实，</w:t>
      </w:r>
      <w:r>
        <w:rPr>
          <w:rFonts w:hint="eastAsia" w:ascii="Times New Roman" w:hAnsi="Times New Roman" w:eastAsia="仿宋_GB2312" w:cs="Times New Roman"/>
          <w:b w:val="0"/>
          <w:bCs w:val="0"/>
          <w:caps w:val="0"/>
          <w:smallCaps w:val="0"/>
          <w:kern w:val="2"/>
          <w:sz w:val="32"/>
          <w:szCs w:val="24"/>
          <w:lang w:val="en-US" w:eastAsia="zh-CN" w:bidi="ar-SA"/>
        </w:rPr>
        <w:t>在淘宝、京东等电商平台上进行价格查询以供参考</w:t>
      </w:r>
      <w:r>
        <w:rPr>
          <w:rFonts w:hint="eastAsia" w:ascii="Times New Roman" w:hAnsi="Times New Roman" w:cs="Times New Roman"/>
          <w:b w:val="0"/>
          <w:bCs w:val="0"/>
          <w:caps w:val="0"/>
          <w:smallCaps w:val="0"/>
          <w:kern w:val="2"/>
          <w:sz w:val="32"/>
          <w:szCs w:val="24"/>
          <w:lang w:val="en-US" w:eastAsia="zh-CN" w:bidi="ar-SA"/>
        </w:rPr>
        <w:t>，作为向财政申请资金的依据</w:t>
      </w:r>
      <w:r>
        <w:rPr>
          <w:rFonts w:hint="eastAsia" w:ascii="Times New Roman" w:hAnsi="Times New Roman" w:eastAsia="仿宋_GB2312" w:cs="Times New Roman"/>
          <w:b w:val="0"/>
          <w:bCs w:val="0"/>
          <w:caps w:val="0"/>
          <w:smallCaps w:val="0"/>
          <w:kern w:val="2"/>
          <w:sz w:val="32"/>
          <w:szCs w:val="24"/>
          <w:lang w:val="en-US" w:eastAsia="zh-CN" w:bidi="ar-SA"/>
        </w:rPr>
        <w:t>。</w:t>
      </w:r>
      <w:r>
        <w:rPr>
          <w:rFonts w:hint="eastAsia" w:ascii="Times New Roman" w:hAnsi="Times New Roman" w:cs="Times New Roman"/>
          <w:b/>
          <w:bCs/>
          <w:caps w:val="0"/>
          <w:smallCaps w:val="0"/>
          <w:kern w:val="2"/>
          <w:sz w:val="32"/>
          <w:szCs w:val="24"/>
          <w:lang w:val="en-US" w:eastAsia="zh-CN" w:bidi="ar-SA"/>
        </w:rPr>
        <w:t>二是</w:t>
      </w:r>
      <w:r>
        <w:rPr>
          <w:rFonts w:hint="eastAsia" w:ascii="Times New Roman" w:hAnsi="Times New Roman" w:cs="Times New Roman"/>
          <w:b w:val="0"/>
          <w:bCs w:val="0"/>
          <w:caps w:val="0"/>
          <w:smallCaps w:val="0"/>
          <w:kern w:val="2"/>
          <w:sz w:val="32"/>
          <w:szCs w:val="24"/>
          <w:lang w:val="en-US" w:eastAsia="zh-CN" w:bidi="ar-SA"/>
        </w:rPr>
        <w:t>项目单位应分批次建立台账，</w:t>
      </w:r>
      <w:r>
        <w:rPr>
          <w:rFonts w:hint="eastAsia" w:ascii="Times New Roman" w:hAnsi="Times New Roman" w:eastAsia="仿宋_GB2312" w:cs="Times New Roman"/>
          <w:b w:val="0"/>
          <w:bCs w:val="0"/>
          <w:caps w:val="0"/>
          <w:smallCaps w:val="0"/>
          <w:kern w:val="2"/>
          <w:sz w:val="32"/>
          <w:szCs w:val="24"/>
          <w:lang w:val="en-US" w:eastAsia="zh-CN" w:bidi="ar-SA"/>
        </w:rPr>
        <w:t>对最先采购的应急救灾物资先调拨出去，在调拨数量不足的情况下再调拨后采购的物资，通过先进先出法的操作，库存物资基本上由后采购的物资和尚未调拨出去的部分先采购的物资构成，保证库存物资的更新</w:t>
      </w:r>
      <w:r>
        <w:rPr>
          <w:rFonts w:hint="eastAsia" w:ascii="Times New Roman" w:hAnsi="Times New Roman" w:cs="Times New Roman"/>
          <w:b w:val="0"/>
          <w:bCs w:val="0"/>
          <w:caps w:val="0"/>
          <w:smallCaps w:val="0"/>
          <w:kern w:val="2"/>
          <w:sz w:val="32"/>
          <w:szCs w:val="24"/>
          <w:lang w:val="en-US" w:eastAsia="zh-CN" w:bidi="ar-SA"/>
        </w:rPr>
        <w:t>。</w:t>
      </w:r>
    </w:p>
    <w:p>
      <w:pPr>
        <w:pStyle w:val="3"/>
        <w:spacing w:before="156" w:after="156"/>
        <w:ind w:firstLine="643"/>
        <w:rPr>
          <w:rFonts w:hint="eastAsia" w:ascii="Times New Roman" w:hAnsi="Times New Roman"/>
          <w:highlight w:val="none"/>
        </w:rPr>
      </w:pPr>
      <w:bookmarkStart w:id="38" w:name="_Toc14777"/>
      <w:bookmarkStart w:id="39" w:name="_Toc6516"/>
      <w:r>
        <w:rPr>
          <w:rFonts w:hint="eastAsia" w:ascii="Times New Roman" w:hAnsi="Times New Roman"/>
          <w:highlight w:val="none"/>
        </w:rPr>
        <w:t>（三）</w:t>
      </w:r>
      <w:bookmarkEnd w:id="38"/>
      <w:r>
        <w:rPr>
          <w:rFonts w:hint="eastAsia" w:ascii="Times New Roman" w:hAnsi="Times New Roman"/>
          <w:highlight w:val="none"/>
          <w:lang w:val="en-US" w:eastAsia="zh-CN"/>
        </w:rPr>
        <w:t>加强合同履约管理，</w:t>
      </w:r>
      <w:r>
        <w:rPr>
          <w:rFonts w:hint="eastAsia" w:ascii="Times New Roman" w:hAnsi="Times New Roman" w:eastAsia="楷体" w:cs="楷体"/>
          <w:b/>
          <w:bCs/>
          <w:caps w:val="0"/>
          <w:smallCaps w:val="0"/>
          <w:color w:val="auto"/>
          <w:highlight w:val="none"/>
          <w:lang w:val="en-US" w:eastAsia="zh-CN"/>
        </w:rPr>
        <w:t>提高风险防范意识</w:t>
      </w:r>
      <w:bookmarkEnd w:id="39"/>
    </w:p>
    <w:p>
      <w:pPr>
        <w:pStyle w:val="15"/>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b w:val="0"/>
          <w:bCs w:val="0"/>
          <w:caps w:val="0"/>
          <w:smallCaps w:val="0"/>
          <w:kern w:val="2"/>
          <w:sz w:val="32"/>
          <w:szCs w:val="24"/>
          <w:lang w:val="en-US" w:eastAsia="zh-CN" w:bidi="ar-SA"/>
        </w:rPr>
      </w:pPr>
      <w:r>
        <w:rPr>
          <w:rFonts w:hint="eastAsia" w:ascii="Times New Roman" w:hAnsi="Times New Roman" w:cs="Times New Roman"/>
          <w:b w:val="0"/>
          <w:bCs w:val="0"/>
          <w:caps w:val="0"/>
          <w:smallCaps w:val="0"/>
          <w:kern w:val="2"/>
          <w:sz w:val="32"/>
          <w:szCs w:val="24"/>
          <w:lang w:val="en-US" w:eastAsia="zh-CN" w:bidi="ar-SA"/>
        </w:rPr>
        <w:t>项目单位应</w:t>
      </w:r>
      <w:r>
        <w:rPr>
          <w:rFonts w:hint="eastAsia" w:ascii="Times New Roman" w:hAnsi="Times New Roman" w:eastAsia="仿宋_GB2312" w:cs="Times New Roman"/>
          <w:b w:val="0"/>
          <w:bCs w:val="0"/>
          <w:caps w:val="0"/>
          <w:smallCaps w:val="0"/>
          <w:kern w:val="2"/>
          <w:sz w:val="32"/>
          <w:szCs w:val="24"/>
          <w:lang w:val="en-US" w:eastAsia="zh-CN" w:bidi="ar-SA"/>
        </w:rPr>
        <w:t>增强法规意识，规范合同签订，强化合同管理</w:t>
      </w:r>
      <w:r>
        <w:rPr>
          <w:rFonts w:hint="eastAsia" w:ascii="Times New Roman" w:hAnsi="Times New Roman" w:cs="Times New Roman"/>
          <w:b w:val="0"/>
          <w:bCs w:val="0"/>
          <w:caps w:val="0"/>
          <w:smallCaps w:val="0"/>
          <w:kern w:val="2"/>
          <w:sz w:val="32"/>
          <w:szCs w:val="24"/>
          <w:lang w:val="en-US" w:eastAsia="zh-CN" w:bidi="ar-SA"/>
        </w:rPr>
        <w:t>。</w:t>
      </w:r>
      <w:r>
        <w:rPr>
          <w:rFonts w:hint="eastAsia" w:ascii="Times New Roman" w:hAnsi="Times New Roman" w:cs="Times New Roman"/>
          <w:b/>
          <w:bCs/>
          <w:caps w:val="0"/>
          <w:smallCaps w:val="0"/>
          <w:kern w:val="2"/>
          <w:sz w:val="32"/>
          <w:szCs w:val="24"/>
          <w:lang w:val="en-US" w:eastAsia="zh-CN" w:bidi="ar-SA"/>
        </w:rPr>
        <w:t>一是</w:t>
      </w:r>
      <w:r>
        <w:rPr>
          <w:rFonts w:hint="default" w:ascii="Times New Roman" w:hAnsi="Times New Roman" w:eastAsia="仿宋_GB2312" w:cs="Times New Roman"/>
          <w:b w:val="0"/>
          <w:bCs w:val="0"/>
          <w:caps w:val="0"/>
          <w:smallCaps w:val="0"/>
          <w:color w:val="auto"/>
          <w:sz w:val="32"/>
          <w:szCs w:val="32"/>
          <w:highlight w:val="none"/>
          <w:lang w:val="en-US" w:eastAsia="zh-CN"/>
        </w:rPr>
        <w:t>当无法按期支付合同款项时，建议项目单位应以告知书方式通知对方，且保留对方</w:t>
      </w:r>
      <w:r>
        <w:rPr>
          <w:rFonts w:hint="eastAsia" w:ascii="Times New Roman" w:hAnsi="Times New Roman" w:eastAsia="仿宋_GB2312" w:cs="仿宋_GB2312"/>
          <w:b w:val="0"/>
          <w:bCs w:val="0"/>
          <w:caps w:val="0"/>
          <w:smallCaps w:val="0"/>
          <w:color w:val="auto"/>
          <w:sz w:val="32"/>
          <w:szCs w:val="32"/>
          <w:highlight w:val="none"/>
          <w:lang w:val="en-US" w:eastAsia="zh-CN"/>
        </w:rPr>
        <w:t>签收的文件。同时建议项目单位在签订合同时，应在付款时间</w:t>
      </w:r>
      <w:r>
        <w:rPr>
          <w:rFonts w:hint="eastAsia" w:cs="仿宋_GB2312"/>
          <w:b w:val="0"/>
          <w:bCs w:val="0"/>
          <w:caps w:val="0"/>
          <w:smallCaps w:val="0"/>
          <w:color w:val="auto"/>
          <w:sz w:val="32"/>
          <w:szCs w:val="32"/>
          <w:highlight w:val="none"/>
          <w:lang w:val="en-US" w:eastAsia="zh-CN"/>
        </w:rPr>
        <w:t>内</w:t>
      </w:r>
      <w:r>
        <w:rPr>
          <w:rFonts w:hint="eastAsia" w:ascii="Times New Roman" w:hAnsi="Times New Roman" w:eastAsia="仿宋_GB2312" w:cs="仿宋_GB2312"/>
          <w:b w:val="0"/>
          <w:bCs w:val="0"/>
          <w:caps w:val="0"/>
          <w:smallCaps w:val="0"/>
          <w:color w:val="auto"/>
          <w:sz w:val="32"/>
          <w:szCs w:val="32"/>
          <w:highlight w:val="none"/>
          <w:lang w:val="en-US" w:eastAsia="zh-CN"/>
        </w:rPr>
        <w:t>补充，具体支付时间以财政批复拨入资金到账为支付日期，减小合同履约风险。</w:t>
      </w:r>
      <w:r>
        <w:rPr>
          <w:rFonts w:hint="eastAsia" w:ascii="Times New Roman" w:hAnsi="Times New Roman" w:eastAsia="仿宋_GB2312" w:cs="Times New Roman"/>
          <w:b/>
          <w:bCs/>
          <w:caps w:val="0"/>
          <w:smallCaps w:val="0"/>
          <w:kern w:val="2"/>
          <w:sz w:val="32"/>
          <w:szCs w:val="24"/>
          <w:lang w:val="en-US" w:eastAsia="zh-CN" w:bidi="ar-SA"/>
        </w:rPr>
        <w:t>二是</w:t>
      </w:r>
      <w:r>
        <w:rPr>
          <w:rFonts w:hint="eastAsia" w:ascii="Times New Roman" w:hAnsi="Times New Roman" w:eastAsia="仿宋_GB2312" w:cs="Times New Roman"/>
          <w:b w:val="0"/>
          <w:bCs w:val="0"/>
          <w:caps w:val="0"/>
          <w:smallCaps w:val="0"/>
          <w:kern w:val="2"/>
          <w:sz w:val="32"/>
          <w:szCs w:val="24"/>
          <w:lang w:val="en-US" w:eastAsia="zh-CN" w:bidi="ar-SA"/>
        </w:rPr>
        <w:t>执行单位必须确保严格履行合同条款，合同管理部门需要严格检查合同履行情况，及时向领导反馈无法按时完成的合约，同时采取补救措施，避免合同违约情形的发生。</w:t>
      </w:r>
    </w:p>
    <w:p>
      <w:pPr>
        <w:pStyle w:val="13"/>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43" w:firstLineChars="200"/>
        <w:textAlignment w:val="auto"/>
        <w:outlineLvl w:val="1"/>
        <w:rPr>
          <w:rFonts w:hint="default" w:ascii="Times New Roman" w:hAnsi="Times New Roman" w:eastAsia="楷体_GB2312" w:cstheme="majorBidi"/>
          <w:b/>
          <w:bCs/>
          <w:kern w:val="2"/>
          <w:sz w:val="32"/>
          <w:szCs w:val="32"/>
          <w:highlight w:val="none"/>
          <w:lang w:val="en-US" w:eastAsia="zh-CN" w:bidi="ar-SA"/>
        </w:rPr>
      </w:pPr>
      <w:bookmarkStart w:id="40" w:name="_Toc11822"/>
      <w:r>
        <w:rPr>
          <w:rFonts w:hint="eastAsia" w:ascii="Times New Roman" w:hAnsi="Times New Roman" w:eastAsia="楷体_GB2312" w:cstheme="majorBidi"/>
          <w:b/>
          <w:bCs/>
          <w:kern w:val="2"/>
          <w:sz w:val="32"/>
          <w:szCs w:val="32"/>
          <w:highlight w:val="none"/>
          <w:lang w:val="en-US" w:eastAsia="zh-CN" w:bidi="ar-SA"/>
        </w:rPr>
        <w:t>（四）建立健全管理制度，加强专业技能培训</w:t>
      </w:r>
      <w:bookmarkEnd w:id="40"/>
    </w:p>
    <w:p>
      <w:pPr>
        <w:rPr>
          <w:rFonts w:ascii="Times New Roman" w:hAnsi="Times New Roman"/>
          <w:highlight w:val="none"/>
        </w:rPr>
      </w:pPr>
      <w:r>
        <w:rPr>
          <w:rFonts w:hint="eastAsia" w:ascii="Times New Roman" w:hAnsi="Times New Roman" w:cs="Times New Roman"/>
          <w:lang w:val="en-US" w:eastAsia="zh-CN"/>
        </w:rPr>
        <w:t>项目单位应</w:t>
      </w:r>
      <w:r>
        <w:rPr>
          <w:rFonts w:hint="eastAsia" w:ascii="Times New Roman" w:hAnsi="Times New Roman" w:cs="Times New Roman"/>
          <w:lang w:eastAsia="zh-CN"/>
        </w:rPr>
        <w:t>完善应急物资储备制度体系建设，制定仓库的管理制度及操作流程规定，指导和规范仓库人员的日常工作行为，当突发事件发生时，负有资源管理责任的应急管理人员应当不断识别、确认和协调对应急物资的需求</w:t>
      </w:r>
      <w:r>
        <w:rPr>
          <w:rFonts w:hint="eastAsia" w:cs="Times New Roman"/>
          <w:lang w:eastAsia="zh-CN"/>
        </w:rPr>
        <w:t>，</w:t>
      </w:r>
      <w:r>
        <w:rPr>
          <w:rFonts w:hint="eastAsia" w:ascii="Times New Roman" w:hAnsi="Times New Roman" w:cs="Times New Roman"/>
          <w:lang w:eastAsia="zh-CN"/>
        </w:rPr>
        <w:t>对有效提高工作效率起到激励作用。</w:t>
      </w:r>
      <w:r>
        <w:rPr>
          <w:rFonts w:hint="eastAsia" w:cs="Times New Roman"/>
          <w:lang w:val="en-US" w:eastAsia="zh-CN"/>
        </w:rPr>
        <w:t>此外，</w:t>
      </w:r>
      <w:r>
        <w:rPr>
          <w:rFonts w:hint="eastAsia" w:ascii="Times New Roman" w:hAnsi="Times New Roman" w:cs="Times New Roman"/>
          <w:lang w:val="en-US" w:eastAsia="zh-CN"/>
        </w:rPr>
        <w:t>项目单位需在专业技能培训方面加大力度，</w:t>
      </w:r>
      <w:r>
        <w:rPr>
          <w:rFonts w:hint="eastAsia" w:ascii="Times New Roman" w:hAnsi="Times New Roman" w:cs="Times New Roman"/>
          <w:lang w:eastAsia="zh-CN"/>
        </w:rPr>
        <w:t>仓管员应掌握物资的自然属性、储存和保管的常识，加强保管措施，不使</w:t>
      </w:r>
      <w:r>
        <w:rPr>
          <w:rFonts w:hint="eastAsia" w:ascii="Times New Roman" w:hAnsi="Times New Roman" w:cs="Times New Roman"/>
          <w:lang w:val="en-US" w:eastAsia="zh-CN"/>
        </w:rPr>
        <w:t>应急</w:t>
      </w:r>
      <w:r>
        <w:rPr>
          <w:rFonts w:hint="eastAsia" w:ascii="Times New Roman" w:hAnsi="Times New Roman" w:cs="Times New Roman"/>
          <w:lang w:eastAsia="zh-CN"/>
        </w:rPr>
        <w:t>物资受到损失。</w:t>
      </w:r>
    </w:p>
    <w:p>
      <w:pPr>
        <w:pStyle w:val="2"/>
        <w:bidi w:val="0"/>
        <w:rPr>
          <w:rFonts w:hint="eastAsia"/>
          <w:lang w:val="en-US" w:eastAsia="zh-CN"/>
        </w:rPr>
      </w:pPr>
      <w:bookmarkStart w:id="41" w:name="_Toc14923"/>
      <w:r>
        <w:rPr>
          <w:rFonts w:hint="eastAsia"/>
          <w:lang w:val="en-US" w:eastAsia="zh-CN"/>
        </w:rPr>
        <w:t>七、附件</w:t>
      </w:r>
      <w:bookmarkEnd w:id="41"/>
    </w:p>
    <w:p>
      <w:pPr>
        <w:outlineLvl w:val="9"/>
        <w:rPr>
          <w:rFonts w:hint="eastAsia"/>
          <w:highlight w:val="none"/>
          <w:lang w:val="en-US" w:eastAsia="zh-CN"/>
        </w:rPr>
      </w:pPr>
      <w:r>
        <w:rPr>
          <w:rFonts w:hint="eastAsia"/>
          <w:highlight w:val="none"/>
          <w:lang w:val="en-US" w:eastAsia="zh-CN"/>
        </w:rPr>
        <w:t>附件</w:t>
      </w:r>
      <w:r>
        <w:rPr>
          <w:rFonts w:hint="default" w:ascii="Times New Roman" w:hAnsi="Times New Roman" w:cs="Times New Roman"/>
          <w:highlight w:val="none"/>
          <w:lang w:val="en-US" w:eastAsia="zh-CN"/>
        </w:rPr>
        <w:t>1</w:t>
      </w:r>
      <w:r>
        <w:rPr>
          <w:rFonts w:hint="eastAsia"/>
          <w:highlight w:val="none"/>
          <w:lang w:val="en-US" w:eastAsia="zh-CN"/>
        </w:rPr>
        <w:t>：项目绩效评价说明</w:t>
      </w:r>
    </w:p>
    <w:p>
      <w:pPr>
        <w:outlineLvl w:val="9"/>
        <w:rPr>
          <w:rFonts w:hint="eastAsia"/>
          <w:highlight w:val="none"/>
          <w:lang w:val="en-US" w:eastAsia="zh-CN"/>
        </w:rPr>
      </w:pPr>
      <w:r>
        <w:rPr>
          <w:rFonts w:hint="eastAsia"/>
          <w:highlight w:val="none"/>
          <w:lang w:val="en-US" w:eastAsia="zh-CN"/>
        </w:rPr>
        <w:t>附件</w:t>
      </w:r>
      <w:r>
        <w:rPr>
          <w:rFonts w:hint="default" w:ascii="Times New Roman" w:hAnsi="Times New Roman" w:cs="Times New Roman"/>
          <w:highlight w:val="none"/>
          <w:lang w:val="en-US" w:eastAsia="zh-CN"/>
        </w:rPr>
        <w:t>2</w:t>
      </w:r>
      <w:r>
        <w:rPr>
          <w:rFonts w:hint="eastAsia"/>
          <w:highlight w:val="none"/>
          <w:lang w:val="en-US" w:eastAsia="zh-CN"/>
        </w:rPr>
        <w:t>：项目绩效评价评分表</w:t>
      </w:r>
    </w:p>
    <w:p>
      <w:pPr>
        <w:ind w:firstLine="640"/>
        <w:rPr>
          <w:rFonts w:ascii="Times New Roman" w:hAnsi="Times New Roman"/>
          <w:highlight w:val="none"/>
        </w:rPr>
        <w:sectPr>
          <w:footerReference r:id="rId7" w:type="default"/>
          <w:pgSz w:w="11906" w:h="16838"/>
          <w:pgMar w:top="1440" w:right="1800" w:bottom="1440" w:left="1800" w:header="851" w:footer="992" w:gutter="0"/>
          <w:pgNumType w:start="1"/>
          <w:cols w:space="425" w:num="1"/>
          <w:docGrid w:type="lines" w:linePitch="312" w:charSpace="0"/>
        </w:sectPr>
      </w:pPr>
    </w:p>
    <w:p>
      <w:pPr>
        <w:spacing w:before="156" w:after="156"/>
        <w:ind w:firstLine="640"/>
        <w:outlineLvl w:val="1"/>
        <w:rPr>
          <w:rFonts w:hint="eastAsia" w:ascii="Times New Roman" w:hAnsi="Times New Roman" w:eastAsia="黑体" w:cs="Times New Roman"/>
          <w:bCs/>
          <w:kern w:val="44"/>
          <w:sz w:val="32"/>
          <w:szCs w:val="44"/>
          <w:highlight w:val="none"/>
          <w:lang w:val="en-US" w:eastAsia="zh-CN" w:bidi="ar-SA"/>
        </w:rPr>
      </w:pPr>
      <w:bookmarkStart w:id="42" w:name="_Toc23021"/>
      <w:bookmarkStart w:id="43" w:name="_Toc2950"/>
      <w:r>
        <w:rPr>
          <w:rFonts w:hint="eastAsia" w:ascii="Times New Roman" w:hAnsi="Times New Roman" w:eastAsia="黑体" w:cs="Times New Roman"/>
          <w:bCs/>
          <w:kern w:val="44"/>
          <w:sz w:val="32"/>
          <w:szCs w:val="44"/>
          <w:highlight w:val="none"/>
          <w:lang w:val="en-US" w:eastAsia="zh-CN" w:bidi="ar-SA"/>
        </w:rPr>
        <w:t>附件1</w:t>
      </w:r>
      <w:bookmarkEnd w:id="42"/>
      <w:r>
        <w:rPr>
          <w:rFonts w:hint="eastAsia" w:ascii="Times New Roman" w:hAnsi="Times New Roman" w:eastAsia="黑体" w:cs="Times New Roman"/>
          <w:bCs/>
          <w:kern w:val="44"/>
          <w:sz w:val="32"/>
          <w:szCs w:val="44"/>
          <w:highlight w:val="none"/>
          <w:lang w:val="en-US" w:eastAsia="zh-CN" w:bidi="ar-SA"/>
        </w:rPr>
        <w:t xml:space="preserve"> 潮安区2022年区级公共卫生应急物资采购项目绩效评价说明</w:t>
      </w:r>
      <w:bookmarkEnd w:id="43"/>
    </w:p>
    <w:p>
      <w:pPr>
        <w:spacing w:before="156" w:after="156"/>
        <w:ind w:firstLine="643"/>
        <w:outlineLvl w:val="9"/>
        <w:rPr>
          <w:rFonts w:ascii="Times New Roman" w:hAnsi="Times New Roman"/>
          <w:highlight w:val="none"/>
        </w:rPr>
      </w:pPr>
      <w:bookmarkStart w:id="44" w:name="_Toc10730"/>
      <w:r>
        <w:rPr>
          <w:rFonts w:hint="eastAsia" w:ascii="Times New Roman" w:hAnsi="Times New Roman"/>
          <w:highlight w:val="none"/>
        </w:rPr>
        <w:t>一、评价原则和方法</w:t>
      </w:r>
      <w:bookmarkEnd w:id="44"/>
    </w:p>
    <w:p>
      <w:pPr>
        <w:ind w:firstLine="640"/>
        <w:rPr>
          <w:rFonts w:ascii="Times New Roman" w:hAnsi="Times New Roman"/>
          <w:szCs w:val="32"/>
          <w:highlight w:val="none"/>
        </w:rPr>
      </w:pPr>
      <w:r>
        <w:rPr>
          <w:rFonts w:hint="eastAsia" w:ascii="Times New Roman" w:hAnsi="Times New Roman"/>
          <w:szCs w:val="32"/>
          <w:highlight w:val="none"/>
        </w:rPr>
        <w:t>根据财政部和省有关财政支出绩效评价的规定，本次评价工作遵循“客观、公正、科学、规范”的原则，通过对项目经济性、效率性、有效性、公平性的比较和分析，检测评价支出效率和支出效果。</w:t>
      </w:r>
    </w:p>
    <w:p>
      <w:pPr>
        <w:ind w:firstLine="640"/>
        <w:rPr>
          <w:rFonts w:ascii="Times New Roman" w:hAnsi="Times New Roman"/>
          <w:szCs w:val="32"/>
          <w:highlight w:val="none"/>
        </w:rPr>
      </w:pPr>
      <w:r>
        <w:rPr>
          <w:rFonts w:hint="eastAsia" w:ascii="Times New Roman" w:hAnsi="Times New Roman"/>
          <w:szCs w:val="32"/>
          <w:highlight w:val="none"/>
        </w:rPr>
        <w:t>结</w:t>
      </w:r>
      <w:r>
        <w:rPr>
          <w:rFonts w:hint="eastAsia" w:ascii="Times New Roman" w:hAnsi="Times New Roman"/>
          <w:highlight w:val="none"/>
        </w:rPr>
        <w:t>合潮安区</w:t>
      </w:r>
      <w:r>
        <w:rPr>
          <w:rFonts w:hint="eastAsia"/>
          <w:highlight w:val="none"/>
          <w:lang w:eastAsia="zh-CN"/>
        </w:rPr>
        <w:t>2022</w:t>
      </w:r>
      <w:r>
        <w:rPr>
          <w:rFonts w:hint="eastAsia" w:ascii="Times New Roman" w:hAnsi="Times New Roman"/>
          <w:highlight w:val="none"/>
        </w:rPr>
        <w:t>年</w:t>
      </w:r>
      <w:r>
        <w:rPr>
          <w:rFonts w:hint="eastAsia"/>
          <w:highlight w:val="none"/>
          <w:lang w:val="en-US" w:eastAsia="zh-CN"/>
        </w:rPr>
        <w:t>区级公共卫生应急物资采购</w:t>
      </w:r>
      <w:r>
        <w:rPr>
          <w:rFonts w:hint="eastAsia" w:ascii="Times New Roman" w:hAnsi="Times New Roman"/>
          <w:highlight w:val="none"/>
        </w:rPr>
        <w:t>项目特点，评价方法主要采用案卷研究法、目标预定与实施</w:t>
      </w:r>
      <w:r>
        <w:rPr>
          <w:rFonts w:hint="eastAsia" w:ascii="Times New Roman" w:hAnsi="Times New Roman"/>
          <w:szCs w:val="32"/>
          <w:highlight w:val="none"/>
        </w:rPr>
        <w:t>效果比较法，</w:t>
      </w:r>
      <w:r>
        <w:rPr>
          <w:rFonts w:hint="eastAsia" w:ascii="Times New Roman" w:hAnsi="Times New Roman"/>
          <w:highlight w:val="none"/>
        </w:rPr>
        <w:t>专家评审法、实地勘察和座谈法，</w:t>
      </w:r>
      <w:r>
        <w:rPr>
          <w:rFonts w:hint="eastAsia" w:ascii="Times New Roman" w:hAnsi="Times New Roman"/>
          <w:szCs w:val="32"/>
          <w:highlight w:val="none"/>
        </w:rPr>
        <w:t>评价指标分析主要采用定量指标分析，辅以部分定性分析。</w:t>
      </w:r>
    </w:p>
    <w:p>
      <w:pPr>
        <w:spacing w:before="156" w:after="156"/>
        <w:ind w:firstLine="643"/>
        <w:outlineLvl w:val="9"/>
        <w:rPr>
          <w:rFonts w:ascii="Times New Roman" w:hAnsi="Times New Roman"/>
          <w:highlight w:val="none"/>
        </w:rPr>
      </w:pPr>
      <w:bookmarkStart w:id="45" w:name="_Toc6805"/>
      <w:r>
        <w:rPr>
          <w:rFonts w:hint="eastAsia" w:ascii="Times New Roman" w:hAnsi="Times New Roman"/>
          <w:highlight w:val="none"/>
        </w:rPr>
        <w:t>二、评价依据</w:t>
      </w:r>
      <w:bookmarkEnd w:id="45"/>
    </w:p>
    <w:p>
      <w:pPr>
        <w:ind w:firstLine="643"/>
        <w:outlineLvl w:val="9"/>
        <w:rPr>
          <w:rFonts w:ascii="Times New Roman" w:hAnsi="Times New Roman"/>
          <w:b/>
          <w:highlight w:val="none"/>
        </w:rPr>
      </w:pPr>
      <w:bookmarkStart w:id="46" w:name="_Toc44545026"/>
      <w:bookmarkStart w:id="47" w:name="_Toc27932"/>
      <w:bookmarkStart w:id="48" w:name="_Toc44884494"/>
      <w:r>
        <w:rPr>
          <w:rFonts w:ascii="Times New Roman" w:hAnsi="Times New Roman"/>
          <w:b/>
          <w:highlight w:val="none"/>
        </w:rPr>
        <w:t>1.</w:t>
      </w:r>
      <w:bookmarkEnd w:id="46"/>
      <w:bookmarkEnd w:id="47"/>
      <w:bookmarkEnd w:id="48"/>
      <w:r>
        <w:rPr>
          <w:rFonts w:hint="eastAsia" w:ascii="Times New Roman" w:hAnsi="Times New Roman"/>
          <w:b/>
          <w:highlight w:val="none"/>
        </w:rPr>
        <w:t>绩效管理相关文件依据</w:t>
      </w:r>
    </w:p>
    <w:p>
      <w:pPr>
        <w:ind w:firstLine="640"/>
        <w:rPr>
          <w:rFonts w:ascii="Times New Roman" w:hAnsi="Times New Roman"/>
          <w:szCs w:val="32"/>
          <w:highlight w:val="none"/>
        </w:rPr>
      </w:pPr>
      <w:r>
        <w:rPr>
          <w:rFonts w:hint="eastAsia" w:ascii="Times New Roman" w:hAnsi="Times New Roman"/>
          <w:szCs w:val="32"/>
          <w:highlight w:val="none"/>
        </w:rPr>
        <w:t>（1）《中华人民共和国预算法》（2018年修正）；</w:t>
      </w:r>
    </w:p>
    <w:p>
      <w:pPr>
        <w:ind w:firstLine="640"/>
        <w:rPr>
          <w:rFonts w:ascii="Times New Roman" w:hAnsi="Times New Roman"/>
          <w:szCs w:val="32"/>
          <w:highlight w:val="none"/>
        </w:rPr>
      </w:pPr>
      <w:r>
        <w:rPr>
          <w:rFonts w:hint="eastAsia" w:ascii="Times New Roman" w:hAnsi="Times New Roman"/>
          <w:szCs w:val="32"/>
          <w:highlight w:val="none"/>
        </w:rPr>
        <w:t>（2）《中共中央  国务院关于全面实施预算绩效管理的意见》（中发〔2018〕34号）；</w:t>
      </w:r>
    </w:p>
    <w:p>
      <w:pPr>
        <w:ind w:firstLine="640"/>
        <w:rPr>
          <w:rFonts w:hint="eastAsia"/>
          <w:szCs w:val="32"/>
          <w:highlight w:val="none"/>
          <w:lang w:eastAsia="zh-CN"/>
        </w:rPr>
      </w:pPr>
      <w:r>
        <w:rPr>
          <w:rFonts w:hint="eastAsia" w:ascii="Times New Roman" w:hAnsi="Times New Roman"/>
          <w:szCs w:val="32"/>
          <w:highlight w:val="none"/>
        </w:rPr>
        <w:t>（3）财政部关于印发《项目支出绩效评价管理办法》（财预﹝2020﹞10号）</w:t>
      </w:r>
      <w:r>
        <w:rPr>
          <w:rFonts w:hint="eastAsia"/>
          <w:szCs w:val="32"/>
          <w:highlight w:val="none"/>
          <w:lang w:eastAsia="zh-CN"/>
        </w:rPr>
        <w:t>；</w:t>
      </w:r>
    </w:p>
    <w:p>
      <w:pPr>
        <w:ind w:firstLine="640"/>
        <w:rPr>
          <w:rFonts w:ascii="Times New Roman" w:hAnsi="Times New Roman"/>
          <w:szCs w:val="32"/>
          <w:highlight w:val="none"/>
        </w:rPr>
      </w:pPr>
      <w:r>
        <w:rPr>
          <w:rFonts w:hint="eastAsia"/>
          <w:szCs w:val="32"/>
          <w:highlight w:val="none"/>
          <w:lang w:eastAsia="zh-CN"/>
        </w:rPr>
        <w:t>（</w:t>
      </w:r>
      <w:r>
        <w:rPr>
          <w:rFonts w:hint="eastAsia"/>
          <w:szCs w:val="32"/>
          <w:highlight w:val="none"/>
          <w:lang w:val="en-US" w:eastAsia="zh-CN"/>
        </w:rPr>
        <w:t>4</w:t>
      </w:r>
      <w:r>
        <w:rPr>
          <w:rFonts w:hint="eastAsia"/>
          <w:szCs w:val="32"/>
          <w:highlight w:val="none"/>
          <w:lang w:eastAsia="zh-CN"/>
        </w:rPr>
        <w:t>）《</w:t>
      </w:r>
      <w:r>
        <w:rPr>
          <w:rFonts w:hint="eastAsia"/>
          <w:szCs w:val="32"/>
          <w:highlight w:val="none"/>
          <w:lang w:val="en-US" w:eastAsia="zh-CN"/>
        </w:rPr>
        <w:t>潮州市潮安区人民政府办公室印发&lt;关于全面实施预算绩效管理的实施意见&gt;的通知</w:t>
      </w:r>
      <w:r>
        <w:rPr>
          <w:rFonts w:hint="eastAsia"/>
          <w:szCs w:val="32"/>
          <w:highlight w:val="none"/>
          <w:lang w:eastAsia="zh-CN"/>
        </w:rPr>
        <w:t>》（</w:t>
      </w:r>
      <w:r>
        <w:rPr>
          <w:rFonts w:hint="eastAsia"/>
          <w:szCs w:val="32"/>
          <w:highlight w:val="none"/>
          <w:lang w:val="en-US" w:eastAsia="zh-CN"/>
        </w:rPr>
        <w:t>安府办</w:t>
      </w:r>
      <w:r>
        <w:rPr>
          <w:rFonts w:hint="eastAsia" w:ascii="Times New Roman" w:hAnsi="Times New Roman"/>
          <w:szCs w:val="32"/>
          <w:highlight w:val="none"/>
        </w:rPr>
        <w:t>〔20</w:t>
      </w:r>
      <w:r>
        <w:rPr>
          <w:rFonts w:hint="eastAsia"/>
          <w:szCs w:val="32"/>
          <w:highlight w:val="none"/>
          <w:lang w:val="en-US" w:eastAsia="zh-CN"/>
        </w:rPr>
        <w:t>20</w:t>
      </w:r>
      <w:r>
        <w:rPr>
          <w:rFonts w:hint="eastAsia" w:ascii="Times New Roman" w:hAnsi="Times New Roman"/>
          <w:szCs w:val="32"/>
          <w:highlight w:val="none"/>
        </w:rPr>
        <w:t>〕</w:t>
      </w:r>
      <w:r>
        <w:rPr>
          <w:rFonts w:hint="eastAsia"/>
          <w:szCs w:val="32"/>
          <w:highlight w:val="none"/>
          <w:lang w:val="en-US" w:eastAsia="zh-CN"/>
        </w:rPr>
        <w:t>49号</w:t>
      </w:r>
      <w:r>
        <w:rPr>
          <w:rFonts w:hint="eastAsia"/>
          <w:szCs w:val="32"/>
          <w:highlight w:val="none"/>
          <w:lang w:eastAsia="zh-CN"/>
        </w:rPr>
        <w:t>）</w:t>
      </w:r>
      <w:r>
        <w:rPr>
          <w:rFonts w:hint="eastAsia" w:ascii="Times New Roman" w:hAnsi="Times New Roman"/>
          <w:szCs w:val="32"/>
          <w:highlight w:val="none"/>
        </w:rPr>
        <w:t>。</w:t>
      </w:r>
    </w:p>
    <w:p>
      <w:pPr>
        <w:pStyle w:val="13"/>
        <w:ind w:left="0" w:leftChars="0" w:firstLine="643"/>
        <w:outlineLvl w:val="9"/>
        <w:rPr>
          <w:rFonts w:ascii="Times New Roman" w:hAnsi="Times New Roman"/>
          <w:b/>
          <w:highlight w:val="none"/>
        </w:rPr>
      </w:pPr>
      <w:r>
        <w:rPr>
          <w:rFonts w:hint="eastAsia" w:ascii="Times New Roman" w:hAnsi="Times New Roman"/>
          <w:b/>
          <w:highlight w:val="none"/>
        </w:rPr>
        <w:t>2.相关政策文件依据</w:t>
      </w:r>
    </w:p>
    <w:p>
      <w:pPr>
        <w:ind w:firstLine="640"/>
        <w:rPr>
          <w:rFonts w:hint="eastAsia"/>
          <w:szCs w:val="32"/>
          <w:highlight w:val="none"/>
          <w:lang w:eastAsia="zh-CN"/>
        </w:rPr>
      </w:pPr>
      <w:r>
        <w:rPr>
          <w:rFonts w:hint="eastAsia" w:ascii="Times New Roman" w:hAnsi="Times New Roman"/>
          <w:szCs w:val="32"/>
          <w:highlight w:val="none"/>
        </w:rPr>
        <w:t>（</w:t>
      </w:r>
      <w:r>
        <w:rPr>
          <w:rFonts w:hint="eastAsia"/>
          <w:szCs w:val="32"/>
          <w:highlight w:val="none"/>
          <w:lang w:val="en-US" w:eastAsia="zh-CN"/>
        </w:rPr>
        <w:t>1</w:t>
      </w:r>
      <w:r>
        <w:rPr>
          <w:rFonts w:hint="eastAsia"/>
          <w:szCs w:val="32"/>
          <w:highlight w:val="none"/>
          <w:lang w:eastAsia="zh-CN"/>
        </w:rPr>
        <w:t>）《关于印发潮州市新冠肺炎防控指挥办防控物资保障组物资管理办法的通知》；</w:t>
      </w:r>
    </w:p>
    <w:p>
      <w:pPr>
        <w:pStyle w:val="13"/>
        <w:ind w:left="0" w:leftChars="0" w:firstLine="640" w:firstLineChars="200"/>
        <w:rPr>
          <w:rFonts w:hint="eastAsia"/>
          <w:szCs w:val="32"/>
          <w:highlight w:val="none"/>
          <w:lang w:eastAsia="zh-CN"/>
        </w:rPr>
      </w:pPr>
      <w:r>
        <w:rPr>
          <w:rFonts w:hint="eastAsia"/>
          <w:szCs w:val="32"/>
          <w:highlight w:val="none"/>
          <w:lang w:eastAsia="zh-CN"/>
        </w:rPr>
        <w:t>（</w:t>
      </w:r>
      <w:r>
        <w:rPr>
          <w:rFonts w:hint="eastAsia"/>
          <w:szCs w:val="32"/>
          <w:highlight w:val="none"/>
          <w:lang w:val="en-US" w:eastAsia="zh-CN"/>
        </w:rPr>
        <w:t>2</w:t>
      </w:r>
      <w:r>
        <w:rPr>
          <w:rFonts w:hint="eastAsia"/>
          <w:szCs w:val="32"/>
          <w:highlight w:val="none"/>
          <w:lang w:eastAsia="zh-CN"/>
        </w:rPr>
        <w:t>）《批转&lt;关于要求审定区级公共卫生应急物资社会防疫政府储备指导目录及数量的请示&gt;的通知》（安府〔2021〕36号）；</w:t>
      </w:r>
    </w:p>
    <w:p>
      <w:pPr>
        <w:pStyle w:val="13"/>
        <w:ind w:left="0" w:leftChars="0" w:firstLine="640" w:firstLineChars="200"/>
        <w:rPr>
          <w:rFonts w:hint="eastAsia"/>
          <w:szCs w:val="32"/>
          <w:highlight w:val="none"/>
          <w:lang w:eastAsia="zh-CN"/>
        </w:rPr>
      </w:pPr>
      <w:r>
        <w:rPr>
          <w:rFonts w:hint="eastAsia"/>
          <w:szCs w:val="32"/>
          <w:highlight w:val="none"/>
          <w:lang w:eastAsia="zh-CN"/>
        </w:rPr>
        <w:t>（</w:t>
      </w:r>
      <w:r>
        <w:rPr>
          <w:rFonts w:hint="eastAsia"/>
          <w:szCs w:val="32"/>
          <w:highlight w:val="none"/>
          <w:lang w:val="en-US" w:eastAsia="zh-CN"/>
        </w:rPr>
        <w:t>3</w:t>
      </w:r>
      <w:r>
        <w:rPr>
          <w:rFonts w:hint="eastAsia"/>
          <w:szCs w:val="32"/>
          <w:highlight w:val="none"/>
          <w:lang w:eastAsia="zh-CN"/>
        </w:rPr>
        <w:t>）《关于防控物资应急储备的函》（安卫函〔202</w:t>
      </w:r>
      <w:r>
        <w:rPr>
          <w:rFonts w:hint="eastAsia"/>
          <w:szCs w:val="32"/>
          <w:highlight w:val="none"/>
          <w:lang w:val="en-US" w:eastAsia="zh-CN"/>
        </w:rPr>
        <w:t>2</w:t>
      </w:r>
      <w:r>
        <w:rPr>
          <w:rFonts w:hint="eastAsia"/>
          <w:szCs w:val="32"/>
          <w:highlight w:val="none"/>
          <w:lang w:eastAsia="zh-CN"/>
        </w:rPr>
        <w:t>〕1号）；</w:t>
      </w:r>
    </w:p>
    <w:p>
      <w:pPr>
        <w:rPr>
          <w:rFonts w:hint="eastAsia"/>
          <w:szCs w:val="32"/>
          <w:highlight w:val="none"/>
          <w:lang w:eastAsia="zh-CN"/>
        </w:rPr>
      </w:pPr>
      <w:r>
        <w:rPr>
          <w:rFonts w:hint="eastAsia"/>
          <w:szCs w:val="32"/>
          <w:highlight w:val="none"/>
          <w:lang w:eastAsia="zh-CN"/>
        </w:rPr>
        <w:t>（</w:t>
      </w:r>
      <w:r>
        <w:rPr>
          <w:rFonts w:hint="eastAsia"/>
          <w:szCs w:val="32"/>
          <w:highlight w:val="none"/>
          <w:lang w:val="en-US" w:eastAsia="zh-CN"/>
        </w:rPr>
        <w:t>4</w:t>
      </w:r>
      <w:r>
        <w:rPr>
          <w:rFonts w:hint="eastAsia"/>
          <w:szCs w:val="32"/>
          <w:highlight w:val="none"/>
          <w:lang w:eastAsia="zh-CN"/>
        </w:rPr>
        <w:t>）《关于要求实施区级公共卫生应急物资社会防疫政府储备有关问题的请示》（安发改粮〔202</w:t>
      </w:r>
      <w:r>
        <w:rPr>
          <w:rFonts w:hint="eastAsia"/>
          <w:szCs w:val="32"/>
          <w:highlight w:val="none"/>
          <w:lang w:val="en-US" w:eastAsia="zh-CN"/>
        </w:rPr>
        <w:t>2</w:t>
      </w:r>
      <w:r>
        <w:rPr>
          <w:rFonts w:hint="eastAsia"/>
          <w:szCs w:val="32"/>
          <w:highlight w:val="none"/>
          <w:lang w:eastAsia="zh-CN"/>
        </w:rPr>
        <w:t>〕2号）；</w:t>
      </w:r>
    </w:p>
    <w:p>
      <w:pPr>
        <w:rPr>
          <w:rFonts w:hint="eastAsia"/>
          <w:szCs w:val="32"/>
          <w:highlight w:val="none"/>
          <w:lang w:eastAsia="zh-CN"/>
        </w:rPr>
      </w:pPr>
      <w:r>
        <w:rPr>
          <w:rFonts w:hint="eastAsia"/>
          <w:lang w:eastAsia="zh-CN"/>
        </w:rPr>
        <w:t>（</w:t>
      </w:r>
      <w:r>
        <w:rPr>
          <w:rFonts w:hint="eastAsia"/>
          <w:lang w:val="en-US" w:eastAsia="zh-CN"/>
        </w:rPr>
        <w:t>5</w:t>
      </w:r>
      <w:r>
        <w:rPr>
          <w:rFonts w:hint="eastAsia"/>
          <w:lang w:eastAsia="zh-CN"/>
        </w:rPr>
        <w:t>）《关于实施区级公平卫生应急物资社会防疫政府储</w:t>
      </w:r>
      <w:r>
        <w:rPr>
          <w:rFonts w:hint="eastAsia"/>
          <w:szCs w:val="32"/>
          <w:highlight w:val="none"/>
          <w:lang w:eastAsia="zh-CN"/>
        </w:rPr>
        <w:t>备有关问题的复函》（安府办函〔202</w:t>
      </w:r>
      <w:r>
        <w:rPr>
          <w:rFonts w:hint="eastAsia"/>
          <w:szCs w:val="32"/>
          <w:highlight w:val="none"/>
          <w:lang w:val="en-US" w:eastAsia="zh-CN"/>
        </w:rPr>
        <w:t>2</w:t>
      </w:r>
      <w:r>
        <w:rPr>
          <w:rFonts w:hint="eastAsia"/>
          <w:szCs w:val="32"/>
          <w:highlight w:val="none"/>
          <w:lang w:eastAsia="zh-CN"/>
        </w:rPr>
        <w:t>〕56号）；</w:t>
      </w:r>
    </w:p>
    <w:p>
      <w:pPr>
        <w:rPr>
          <w:rFonts w:hint="default"/>
          <w:szCs w:val="32"/>
          <w:highlight w:val="none"/>
          <w:lang w:val="en-US" w:eastAsia="zh-CN"/>
        </w:rPr>
      </w:pPr>
      <w:r>
        <w:rPr>
          <w:rFonts w:hint="eastAsia"/>
          <w:szCs w:val="32"/>
          <w:highlight w:val="none"/>
          <w:lang w:val="en-US" w:eastAsia="zh-CN"/>
        </w:rPr>
        <w:t>（6）《区政府常务会议纪要》（安府常纪〔2022〕4号）。</w:t>
      </w:r>
    </w:p>
    <w:p>
      <w:pPr>
        <w:ind w:firstLine="643"/>
        <w:outlineLvl w:val="9"/>
        <w:rPr>
          <w:rFonts w:ascii="Times New Roman" w:hAnsi="Times New Roman"/>
          <w:b/>
          <w:highlight w:val="none"/>
        </w:rPr>
      </w:pPr>
      <w:r>
        <w:rPr>
          <w:rFonts w:hint="eastAsia" w:ascii="Times New Roman" w:hAnsi="Times New Roman"/>
          <w:b/>
          <w:highlight w:val="none"/>
        </w:rPr>
        <w:t>3.</w:t>
      </w:r>
      <w:r>
        <w:rPr>
          <w:rFonts w:ascii="Times New Roman" w:hAnsi="Times New Roman"/>
          <w:b/>
          <w:highlight w:val="none"/>
        </w:rPr>
        <w:t>项目单位提交的相关资料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（1）项目申报预算时提供的绩效目标及预算申报资料；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（2）项目实施过程资料；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（3）项目产出及效果资料；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（4）资金使用、支出明细等财务资料；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（5）单位自评报告及自评表；</w:t>
      </w:r>
    </w:p>
    <w:p>
      <w:pPr>
        <w:ind w:firstLine="640"/>
        <w:rPr>
          <w:rFonts w:ascii="Times New Roman" w:hAnsi="Times New Roman"/>
          <w:szCs w:val="32"/>
          <w:highlight w:val="none"/>
        </w:rPr>
      </w:pPr>
      <w:r>
        <w:rPr>
          <w:rFonts w:hint="eastAsia"/>
          <w:color w:val="auto"/>
          <w:highlight w:val="none"/>
          <w:lang w:val="en-US" w:eastAsia="zh-CN"/>
        </w:rPr>
        <w:t>（6）其他项目相关资料。</w:t>
      </w:r>
    </w:p>
    <w:p>
      <w:pPr>
        <w:spacing w:before="156" w:after="156"/>
        <w:ind w:firstLine="643"/>
        <w:outlineLvl w:val="9"/>
        <w:rPr>
          <w:rFonts w:ascii="Times New Roman" w:hAnsi="Times New Roman"/>
          <w:highlight w:val="none"/>
        </w:rPr>
      </w:pPr>
      <w:bookmarkStart w:id="49" w:name="_Toc3932"/>
      <w:r>
        <w:rPr>
          <w:rFonts w:hint="eastAsia" w:ascii="Times New Roman" w:hAnsi="Times New Roman"/>
          <w:highlight w:val="none"/>
        </w:rPr>
        <w:t>三、评价指标体系</w:t>
      </w:r>
      <w:bookmarkEnd w:id="49"/>
    </w:p>
    <w:p>
      <w:pPr>
        <w:ind w:firstLine="640"/>
        <w:rPr>
          <w:rFonts w:ascii="Times New Roman" w:hAnsi="Times New Roman"/>
          <w:kern w:val="0"/>
          <w:szCs w:val="32"/>
          <w:highlight w:val="none"/>
        </w:rPr>
      </w:pPr>
      <w:r>
        <w:rPr>
          <w:rFonts w:hint="eastAsia" w:ascii="Times New Roman" w:hAnsi="Times New Roman"/>
          <w:highlight w:val="none"/>
        </w:rPr>
        <w:t>博思</w:t>
      </w:r>
      <w:r>
        <w:rPr>
          <w:rFonts w:hint="eastAsia"/>
          <w:highlight w:val="none"/>
          <w:lang w:val="en-US" w:eastAsia="zh-CN"/>
        </w:rPr>
        <w:t>恒效</w:t>
      </w:r>
      <w:r>
        <w:rPr>
          <w:rFonts w:hint="eastAsia" w:ascii="Times New Roman" w:hAnsi="Times New Roman"/>
          <w:kern w:val="0"/>
          <w:szCs w:val="32"/>
          <w:highlight w:val="none"/>
        </w:rPr>
        <w:t>根据评价指标体系、评分标准，结合潮安区</w:t>
      </w:r>
      <w:r>
        <w:rPr>
          <w:rFonts w:hint="eastAsia"/>
          <w:kern w:val="0"/>
          <w:szCs w:val="32"/>
          <w:highlight w:val="none"/>
          <w:lang w:eastAsia="zh-CN"/>
        </w:rPr>
        <w:t>2022</w:t>
      </w:r>
      <w:r>
        <w:rPr>
          <w:rFonts w:hint="eastAsia" w:ascii="Times New Roman" w:hAnsi="Times New Roman"/>
          <w:kern w:val="0"/>
          <w:szCs w:val="32"/>
          <w:highlight w:val="none"/>
        </w:rPr>
        <w:t>年</w:t>
      </w:r>
      <w:r>
        <w:rPr>
          <w:rFonts w:hint="eastAsia"/>
          <w:kern w:val="0"/>
          <w:szCs w:val="32"/>
          <w:highlight w:val="none"/>
          <w:lang w:val="en-US" w:eastAsia="zh-CN"/>
        </w:rPr>
        <w:t>区级公共卫生应急管理项目</w:t>
      </w:r>
      <w:r>
        <w:rPr>
          <w:rFonts w:hint="eastAsia" w:ascii="Times New Roman" w:hAnsi="Times New Roman"/>
          <w:kern w:val="0"/>
          <w:szCs w:val="32"/>
          <w:highlight w:val="none"/>
        </w:rPr>
        <w:t>的特点及资金使用的具体情况，评价指标体系分为项目决策、项目过程、项目产出、项目效益、绩效表现</w:t>
      </w:r>
      <w:r>
        <w:rPr>
          <w:rFonts w:hint="eastAsia"/>
          <w:kern w:val="0"/>
          <w:szCs w:val="32"/>
          <w:highlight w:val="none"/>
          <w:lang w:val="en-US" w:eastAsia="zh-CN"/>
        </w:rPr>
        <w:t>5</w:t>
      </w:r>
      <w:r>
        <w:rPr>
          <w:rFonts w:hint="eastAsia" w:ascii="Times New Roman" w:hAnsi="Times New Roman"/>
          <w:kern w:val="0"/>
          <w:szCs w:val="32"/>
          <w:highlight w:val="none"/>
        </w:rPr>
        <w:t>个一级指标，1</w:t>
      </w:r>
      <w:r>
        <w:rPr>
          <w:rFonts w:hint="eastAsia"/>
          <w:kern w:val="0"/>
          <w:szCs w:val="32"/>
          <w:highlight w:val="none"/>
          <w:lang w:val="en-US" w:eastAsia="zh-CN"/>
        </w:rPr>
        <w:t>2</w:t>
      </w:r>
      <w:r>
        <w:rPr>
          <w:rFonts w:hint="eastAsia" w:ascii="Times New Roman" w:hAnsi="Times New Roman"/>
          <w:kern w:val="0"/>
          <w:szCs w:val="32"/>
          <w:highlight w:val="none"/>
        </w:rPr>
        <w:t>个二级指标和1</w:t>
      </w:r>
      <w:r>
        <w:rPr>
          <w:rFonts w:hint="eastAsia"/>
          <w:kern w:val="0"/>
          <w:szCs w:val="32"/>
          <w:highlight w:val="none"/>
          <w:lang w:val="en-US" w:eastAsia="zh-CN"/>
        </w:rPr>
        <w:t>8</w:t>
      </w:r>
      <w:r>
        <w:rPr>
          <w:rFonts w:hint="eastAsia" w:ascii="Times New Roman" w:hAnsi="Times New Roman"/>
          <w:kern w:val="0"/>
          <w:szCs w:val="32"/>
          <w:highlight w:val="none"/>
        </w:rPr>
        <w:t xml:space="preserve">个三级指标（评价指标体系详见表1）。 </w:t>
      </w:r>
    </w:p>
    <w:p>
      <w:pPr>
        <w:ind w:firstLine="640"/>
        <w:rPr>
          <w:rFonts w:ascii="Times New Roman" w:hAnsi="Times New Roman"/>
          <w:kern w:val="0"/>
          <w:szCs w:val="32"/>
          <w:highlight w:val="none"/>
        </w:rPr>
      </w:pPr>
      <w:r>
        <w:rPr>
          <w:rFonts w:hint="eastAsia" w:ascii="Times New Roman" w:hAnsi="Times New Roman"/>
          <w:kern w:val="0"/>
          <w:szCs w:val="32"/>
          <w:highlight w:val="none"/>
        </w:rPr>
        <w:t xml:space="preserve">绩效评价结果分为优、良、中、低、差五个等级，其中 90分及以上为优，80～90分为良，70～80分为中，60～70分为低，60分以下为差。 </w:t>
      </w:r>
    </w:p>
    <w:p>
      <w:pPr>
        <w:spacing w:before="156" w:after="156"/>
        <w:ind w:firstLine="643"/>
        <w:outlineLvl w:val="9"/>
        <w:rPr>
          <w:rFonts w:ascii="Times New Roman" w:hAnsi="Times New Roman"/>
          <w:highlight w:val="none"/>
        </w:rPr>
      </w:pPr>
      <w:bookmarkStart w:id="50" w:name="_Toc1694"/>
      <w:bookmarkStart w:id="51" w:name="_Toc25245"/>
      <w:r>
        <w:rPr>
          <w:rFonts w:hint="eastAsia" w:ascii="Times New Roman" w:hAnsi="Times New Roman"/>
          <w:highlight w:val="none"/>
        </w:rPr>
        <w:t>四、评价流程</w:t>
      </w:r>
    </w:p>
    <w:p>
      <w:pPr>
        <w:pageBreakBefore w:val="0"/>
        <w:numPr>
          <w:ilvl w:val="0"/>
          <w:numId w:val="0"/>
        </w:numPr>
        <w:kinsoku/>
        <w:wordWrap/>
        <w:overflowPunct/>
        <w:topLinePunct w:val="0"/>
        <w:autoSpaceDE/>
        <w:autoSpaceDN/>
        <w:bidi w:val="0"/>
        <w:spacing w:line="560" w:lineRule="exact"/>
        <w:ind w:firstLine="643" w:firstLineChars="200"/>
        <w:jc w:val="both"/>
        <w:outlineLvl w:val="9"/>
        <w:rPr>
          <w:rFonts w:hint="eastAsia"/>
          <w:b/>
          <w:bCs/>
          <w:color w:val="auto"/>
          <w:highlight w:val="none"/>
          <w:lang w:val="zh-CN" w:eastAsia="zh-CN"/>
        </w:rPr>
      </w:pPr>
      <w:r>
        <w:rPr>
          <w:rFonts w:hint="eastAsia"/>
          <w:b/>
          <w:bCs/>
          <w:color w:val="auto"/>
          <w:highlight w:val="none"/>
          <w:lang w:val="en-US" w:eastAsia="zh-CN"/>
        </w:rPr>
        <w:t>1.</w:t>
      </w:r>
      <w:r>
        <w:rPr>
          <w:rFonts w:hint="eastAsia"/>
          <w:b/>
          <w:bCs/>
          <w:color w:val="auto"/>
          <w:highlight w:val="none"/>
          <w:lang w:val="zh-CN" w:eastAsia="zh-CN"/>
        </w:rPr>
        <w:t>评价团队配置</w:t>
      </w:r>
      <w:bookmarkEnd w:id="50"/>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本次评价小组由专职人员及专家组成，具体人员组成见下表：</w:t>
      </w:r>
    </w:p>
    <w:p>
      <w:pPr>
        <w:pageBreakBefore w:val="0"/>
        <w:kinsoku/>
        <w:wordWrap/>
        <w:overflowPunct/>
        <w:topLinePunct w:val="0"/>
        <w:autoSpaceDE/>
        <w:autoSpaceDN/>
        <w:bidi w:val="0"/>
        <w:spacing w:before="120" w:after="120" w:line="560" w:lineRule="exact"/>
        <w:ind w:firstLine="482"/>
        <w:jc w:val="center"/>
        <w:textAlignment w:val="center"/>
        <w:rPr>
          <w:rFonts w:hint="eastAsia" w:ascii="幼圆" w:hAnsi="幼圆" w:eastAsia="幼圆" w:cs="幼圆"/>
          <w:b/>
          <w:kern w:val="0"/>
          <w:sz w:val="24"/>
          <w:szCs w:val="24"/>
        </w:rPr>
      </w:pPr>
      <w:bookmarkStart w:id="52" w:name="_Toc6891"/>
      <w:r>
        <w:rPr>
          <w:rFonts w:hint="eastAsia" w:ascii="幼圆" w:hAnsi="幼圆" w:eastAsia="幼圆" w:cs="幼圆"/>
          <w:b/>
          <w:kern w:val="0"/>
          <w:sz w:val="24"/>
          <w:szCs w:val="24"/>
        </w:rPr>
        <w:t>表</w:t>
      </w:r>
      <w:r>
        <w:rPr>
          <w:rFonts w:hint="eastAsia" w:ascii="幼圆" w:hAnsi="幼圆" w:eastAsia="幼圆" w:cs="幼圆"/>
          <w:b/>
          <w:kern w:val="0"/>
          <w:sz w:val="24"/>
          <w:szCs w:val="24"/>
          <w:lang w:val="en-US" w:eastAsia="zh-CN"/>
        </w:rPr>
        <w:t>4-1</w:t>
      </w:r>
      <w:r>
        <w:rPr>
          <w:rFonts w:hint="eastAsia" w:ascii="幼圆" w:hAnsi="幼圆" w:eastAsia="幼圆" w:cs="幼圆"/>
          <w:b/>
          <w:kern w:val="0"/>
          <w:sz w:val="24"/>
          <w:szCs w:val="24"/>
        </w:rPr>
        <w:t xml:space="preserve"> 评价小组</w:t>
      </w:r>
      <w:r>
        <w:rPr>
          <w:rFonts w:hint="eastAsia" w:ascii="幼圆" w:hAnsi="幼圆" w:eastAsia="幼圆" w:cs="幼圆"/>
          <w:b/>
          <w:kern w:val="0"/>
          <w:sz w:val="24"/>
          <w:szCs w:val="24"/>
          <w:lang w:eastAsia="zh-CN"/>
        </w:rPr>
        <w:t>人员</w:t>
      </w:r>
      <w:r>
        <w:rPr>
          <w:rFonts w:hint="eastAsia" w:ascii="幼圆" w:hAnsi="幼圆" w:eastAsia="幼圆" w:cs="幼圆"/>
          <w:b/>
          <w:kern w:val="0"/>
          <w:sz w:val="24"/>
          <w:szCs w:val="24"/>
        </w:rPr>
        <w:t>名单</w:t>
      </w:r>
    </w:p>
    <w:tbl>
      <w:tblPr>
        <w:tblStyle w:val="1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130"/>
        <w:gridCol w:w="295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姓名</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单位</w:t>
            </w:r>
          </w:p>
        </w:tc>
        <w:tc>
          <w:tcPr>
            <w:tcW w:w="29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职称</w:t>
            </w:r>
            <w:r>
              <w:rPr>
                <w:rFonts w:hint="eastAsia" w:ascii="宋体" w:hAnsi="宋体" w:eastAsia="宋体" w:cs="宋体"/>
                <w:b/>
                <w:sz w:val="21"/>
                <w:szCs w:val="21"/>
                <w:lang w:eastAsia="zh-CN"/>
              </w:rPr>
              <w:t>（岗位职责）</w:t>
            </w:r>
          </w:p>
        </w:tc>
        <w:tc>
          <w:tcPr>
            <w:tcW w:w="12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专业</w:t>
            </w:r>
            <w:r>
              <w:rPr>
                <w:rFonts w:hint="eastAsia" w:ascii="宋体" w:hAnsi="宋体" w:eastAsia="宋体" w:cs="宋体"/>
                <w:b/>
                <w:sz w:val="21"/>
                <w:szCs w:val="21"/>
                <w:highlight w:val="none"/>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王晓东</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广东金融学院</w:t>
            </w:r>
          </w:p>
        </w:tc>
        <w:tc>
          <w:tcPr>
            <w:tcW w:w="29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副教授</w:t>
            </w:r>
          </w:p>
        </w:tc>
        <w:tc>
          <w:tcPr>
            <w:tcW w:w="12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杨素芬</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已退休</w:t>
            </w:r>
          </w:p>
        </w:tc>
        <w:tc>
          <w:tcPr>
            <w:tcW w:w="29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会计师</w:t>
            </w:r>
          </w:p>
        </w:tc>
        <w:tc>
          <w:tcPr>
            <w:tcW w:w="12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彭文仪</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北京博思恒效咨询有限公司</w:t>
            </w:r>
          </w:p>
        </w:tc>
        <w:tc>
          <w:tcPr>
            <w:tcW w:w="29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项目经理</w:t>
            </w:r>
          </w:p>
        </w:tc>
        <w:tc>
          <w:tcPr>
            <w:tcW w:w="12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黄婉如</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北京博思恒效咨询有限公司</w:t>
            </w:r>
          </w:p>
        </w:tc>
        <w:tc>
          <w:tcPr>
            <w:tcW w:w="29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项目经理</w:t>
            </w:r>
          </w:p>
        </w:tc>
        <w:tc>
          <w:tcPr>
            <w:tcW w:w="12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吴楚晗</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北京博思恒效咨询有限公司</w:t>
            </w:r>
          </w:p>
        </w:tc>
        <w:tc>
          <w:tcPr>
            <w:tcW w:w="29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项目助理</w:t>
            </w:r>
          </w:p>
        </w:tc>
        <w:tc>
          <w:tcPr>
            <w:tcW w:w="12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财务会计</w:t>
            </w:r>
          </w:p>
        </w:tc>
      </w:tr>
    </w:tbl>
    <w:p>
      <w:pPr>
        <w:pageBreakBefore w:val="0"/>
        <w:numPr>
          <w:ilvl w:val="0"/>
          <w:numId w:val="0"/>
        </w:numPr>
        <w:kinsoku/>
        <w:wordWrap/>
        <w:overflowPunct/>
        <w:topLinePunct w:val="0"/>
        <w:autoSpaceDE/>
        <w:autoSpaceDN/>
        <w:bidi w:val="0"/>
        <w:spacing w:line="560" w:lineRule="exact"/>
        <w:ind w:firstLine="643" w:firstLineChars="200"/>
        <w:jc w:val="both"/>
        <w:outlineLvl w:val="9"/>
        <w:rPr>
          <w:rFonts w:hint="eastAsia"/>
          <w:b/>
          <w:bCs/>
          <w:color w:val="auto"/>
          <w:highlight w:val="none"/>
          <w:lang w:val="en-US" w:eastAsia="zh-CN"/>
        </w:rPr>
      </w:pPr>
      <w:r>
        <w:rPr>
          <w:rFonts w:hint="eastAsia"/>
          <w:b/>
          <w:bCs/>
          <w:color w:val="auto"/>
          <w:highlight w:val="none"/>
          <w:lang w:val="en-US" w:eastAsia="zh-CN"/>
        </w:rPr>
        <w:t>2.评价流程</w:t>
      </w:r>
      <w:bookmarkEnd w:id="52"/>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评价流程分前期准备、书面评审、现场评价、综合分析、提交报告五个阶段实施，具体安排如下：</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1</w:t>
      </w:r>
      <w:r>
        <w:rPr>
          <w:rFonts w:hint="eastAsia"/>
          <w:color w:val="auto"/>
          <w:highlight w:val="none"/>
          <w:lang w:val="zh-CN" w:eastAsia="zh-CN"/>
        </w:rPr>
        <w:t>）前期准备</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一是单位对接。评价小组与被评价单位对接，了解</w:t>
      </w:r>
      <w:r>
        <w:rPr>
          <w:rFonts w:hint="eastAsia"/>
          <w:color w:val="auto"/>
          <w:highlight w:val="none"/>
          <w:lang w:val="en-US" w:eastAsia="zh-CN"/>
        </w:rPr>
        <w:t>项目立项、实施及绩效</w:t>
      </w:r>
      <w:r>
        <w:rPr>
          <w:rFonts w:hint="eastAsia"/>
          <w:color w:val="auto"/>
          <w:highlight w:val="none"/>
          <w:lang w:val="zh-CN" w:eastAsia="zh-CN"/>
        </w:rPr>
        <w:t>情况。二是资料收集。评价小组收集与本次评价相关的资料，包括</w:t>
      </w:r>
      <w:r>
        <w:rPr>
          <w:rFonts w:hint="eastAsia"/>
          <w:color w:val="auto"/>
          <w:highlight w:val="none"/>
          <w:lang w:val="en-US" w:eastAsia="zh-CN"/>
        </w:rPr>
        <w:t>项目</w:t>
      </w:r>
      <w:r>
        <w:rPr>
          <w:rFonts w:hint="eastAsia"/>
          <w:color w:val="auto"/>
          <w:highlight w:val="none"/>
          <w:lang w:val="zh-CN" w:eastAsia="zh-CN"/>
        </w:rPr>
        <w:t>绩效自评及相关佐证资料。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2</w:t>
      </w:r>
      <w:r>
        <w:rPr>
          <w:rFonts w:hint="eastAsia"/>
          <w:color w:val="auto"/>
          <w:highlight w:val="none"/>
          <w:lang w:val="zh-CN" w:eastAsia="zh-CN"/>
        </w:rPr>
        <w:t>）书面评审</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资料收集齐全后，评价小组对材料进行梳理和审核，并形成书面审核意见。目的在于审查被评单位报送资料的完整性、规范性和内容的真实性，重点考察</w:t>
      </w:r>
      <w:r>
        <w:rPr>
          <w:rFonts w:hint="eastAsia"/>
          <w:color w:val="auto"/>
          <w:highlight w:val="none"/>
          <w:lang w:val="en-US" w:eastAsia="zh-CN"/>
        </w:rPr>
        <w:t>项目</w:t>
      </w:r>
      <w:r>
        <w:rPr>
          <w:rFonts w:hint="eastAsia"/>
          <w:color w:val="auto"/>
          <w:highlight w:val="none"/>
          <w:lang w:val="zh-CN" w:eastAsia="zh-CN"/>
        </w:rPr>
        <w:t>支出的绩效，与现场考察结果形成对照，从中发现差异与问题。</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3</w:t>
      </w:r>
      <w:r>
        <w:rPr>
          <w:rFonts w:hint="eastAsia"/>
          <w:color w:val="auto"/>
          <w:highlight w:val="none"/>
          <w:lang w:val="zh-CN" w:eastAsia="zh-CN"/>
        </w:rPr>
        <w:t>）现场评价</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评价小组到被评价单位开展现场评价，了解</w:t>
      </w:r>
      <w:r>
        <w:rPr>
          <w:rFonts w:hint="eastAsia"/>
          <w:color w:val="auto"/>
          <w:highlight w:val="none"/>
          <w:lang w:val="en-US" w:eastAsia="zh-CN"/>
        </w:rPr>
        <w:t>项目</w:t>
      </w:r>
      <w:r>
        <w:rPr>
          <w:rFonts w:hint="eastAsia"/>
          <w:color w:val="auto"/>
          <w:highlight w:val="none"/>
          <w:lang w:val="zh-CN" w:eastAsia="zh-CN"/>
        </w:rPr>
        <w:t>支出情况，并查阅与资金申请、支出、工作开展等有关的资料。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4</w:t>
      </w:r>
      <w:r>
        <w:rPr>
          <w:rFonts w:hint="eastAsia"/>
          <w:color w:val="auto"/>
          <w:highlight w:val="none"/>
          <w:lang w:val="zh-CN" w:eastAsia="zh-CN"/>
        </w:rPr>
        <w:t>）综合分析</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评价小组对采集的评价相关基础数据资料进行整理汇总，结合现场核查情况，对</w:t>
      </w:r>
      <w:r>
        <w:rPr>
          <w:rFonts w:hint="eastAsia"/>
          <w:color w:val="auto"/>
          <w:highlight w:val="none"/>
          <w:lang w:val="en-US" w:eastAsia="zh-CN"/>
        </w:rPr>
        <w:t>项目</w:t>
      </w:r>
      <w:r>
        <w:rPr>
          <w:rFonts w:hint="eastAsia"/>
          <w:color w:val="auto"/>
          <w:highlight w:val="none"/>
          <w:lang w:val="zh-CN" w:eastAsia="zh-CN"/>
        </w:rPr>
        <w:t>绩效进行全面分析，形成初步评价意见。</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5</w:t>
      </w:r>
      <w:r>
        <w:rPr>
          <w:rFonts w:hint="eastAsia"/>
          <w:color w:val="auto"/>
          <w:highlight w:val="none"/>
          <w:lang w:val="zh-CN" w:eastAsia="zh-CN"/>
        </w:rPr>
        <w:t>）出具评价报告</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评价小组根据综合评价结果，撰写评价报告，并完成财政部门及被评价单位意见征集与报告修改完善。</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sz w:val="32"/>
          <w:szCs w:val="32"/>
          <w:highlight w:val="none"/>
        </w:rPr>
      </w:pPr>
      <w:r>
        <w:rPr>
          <w:rFonts w:hint="eastAsia" w:ascii="Times New Roman" w:hAnsi="Times New Roman"/>
          <w:sz w:val="32"/>
          <w:szCs w:val="32"/>
          <w:highlight w:val="none"/>
          <w:lang w:eastAsia="zh-CN"/>
        </w:rPr>
        <w:t>（</w:t>
      </w:r>
      <w:r>
        <w:rPr>
          <w:rFonts w:hint="eastAsia" w:ascii="Times New Roman" w:hAnsi="Times New Roman"/>
          <w:sz w:val="32"/>
          <w:szCs w:val="32"/>
          <w:highlight w:val="none"/>
          <w:lang w:val="en-US" w:eastAsia="zh-CN"/>
        </w:rPr>
        <w:t>6</w:t>
      </w:r>
      <w:r>
        <w:rPr>
          <w:rFonts w:hint="eastAsia" w:ascii="Times New Roman" w:hAnsi="Times New Roman"/>
          <w:sz w:val="32"/>
          <w:szCs w:val="32"/>
          <w:highlight w:val="none"/>
          <w:lang w:eastAsia="zh-CN"/>
        </w:rPr>
        <w:t>）</w:t>
      </w:r>
      <w:r>
        <w:rPr>
          <w:rFonts w:hint="eastAsia" w:ascii="Times New Roman" w:hAnsi="Times New Roman"/>
          <w:sz w:val="32"/>
          <w:szCs w:val="32"/>
          <w:highlight w:val="none"/>
        </w:rPr>
        <w:t>资料整理归档</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sz w:val="32"/>
          <w:szCs w:val="32"/>
          <w:highlight w:val="none"/>
          <w:lang w:eastAsia="zh-CN"/>
        </w:rPr>
        <w:t>博思恒效</w:t>
      </w:r>
      <w:r>
        <w:rPr>
          <w:rFonts w:hint="eastAsia" w:ascii="Times New Roman" w:hAnsi="Times New Roman"/>
          <w:sz w:val="32"/>
          <w:szCs w:val="32"/>
          <w:highlight w:val="none"/>
        </w:rPr>
        <w:t>整理项目实施过程中的过程资料及结果资料，完成项目资料的归档，并移交区</w:t>
      </w:r>
      <w:r>
        <w:rPr>
          <w:rFonts w:hint="eastAsia"/>
          <w:sz w:val="32"/>
          <w:szCs w:val="32"/>
          <w:highlight w:val="none"/>
          <w:lang w:val="en-US" w:eastAsia="zh-CN"/>
        </w:rPr>
        <w:t>财政</w:t>
      </w:r>
      <w:r>
        <w:rPr>
          <w:rFonts w:hint="eastAsia" w:ascii="Times New Roman" w:hAnsi="Times New Roman"/>
          <w:sz w:val="32"/>
          <w:szCs w:val="32"/>
          <w:highlight w:val="none"/>
        </w:rPr>
        <w:t>局</w:t>
      </w:r>
      <w:r>
        <w:rPr>
          <w:rFonts w:hint="eastAsia" w:ascii="Times New Roman" w:hAnsi="Times New Roman"/>
          <w:sz w:val="32"/>
          <w:szCs w:val="32"/>
          <w:highlight w:val="none"/>
          <w:lang w:eastAsia="zh-CN"/>
        </w:rPr>
        <w:t>。</w:t>
      </w:r>
    </w:p>
    <w:bookmarkEnd w:id="51"/>
    <w:p>
      <w:pPr>
        <w:ind w:firstLine="640"/>
        <w:rPr>
          <w:rFonts w:ascii="Times New Roman" w:hAnsi="Times New Roman"/>
          <w:highlight w:val="none"/>
        </w:rPr>
      </w:pPr>
    </w:p>
    <w:p>
      <w:pPr>
        <w:ind w:firstLine="640"/>
        <w:outlineLvl w:val="9"/>
        <w:rPr>
          <w:rFonts w:ascii="Times New Roman" w:hAnsi="Times New Roman" w:eastAsia="黑体"/>
          <w:bCs/>
          <w:kern w:val="44"/>
          <w:szCs w:val="44"/>
          <w:highlight w:val="none"/>
        </w:rPr>
        <w:sectPr>
          <w:pgSz w:w="11906" w:h="16838"/>
          <w:pgMar w:top="1440" w:right="1800" w:bottom="1440" w:left="1800" w:header="851" w:footer="992" w:gutter="0"/>
          <w:cols w:space="425" w:num="1"/>
          <w:docGrid w:type="lines" w:linePitch="312" w:charSpace="0"/>
        </w:sectPr>
      </w:pPr>
    </w:p>
    <w:p>
      <w:pPr>
        <w:spacing w:before="156" w:after="156"/>
        <w:ind w:firstLine="640"/>
        <w:outlineLvl w:val="1"/>
        <w:rPr>
          <w:rFonts w:ascii="Times New Roman" w:hAnsi="Times New Roman"/>
          <w:b/>
          <w:bCs/>
          <w:highlight w:val="none"/>
        </w:rPr>
      </w:pPr>
      <w:bookmarkStart w:id="53" w:name="_Toc585"/>
      <w:bookmarkStart w:id="54" w:name="_Toc31185"/>
      <w:r>
        <w:rPr>
          <w:rFonts w:hint="eastAsia" w:ascii="Times New Roman" w:hAnsi="Times New Roman"/>
          <w:b/>
          <w:bCs/>
          <w:highlight w:val="none"/>
        </w:rPr>
        <w:t>附件2</w:t>
      </w:r>
      <w:bookmarkEnd w:id="53"/>
      <w:r>
        <w:rPr>
          <w:rFonts w:hint="eastAsia" w:ascii="Times New Roman" w:hAnsi="Times New Roman"/>
          <w:b/>
          <w:bCs/>
          <w:highlight w:val="none"/>
        </w:rPr>
        <w:t>潮安区</w:t>
      </w:r>
      <w:r>
        <w:rPr>
          <w:rFonts w:hint="eastAsia"/>
          <w:b/>
          <w:bCs/>
          <w:highlight w:val="none"/>
          <w:lang w:eastAsia="zh-CN"/>
        </w:rPr>
        <w:t>2022</w:t>
      </w:r>
      <w:r>
        <w:rPr>
          <w:rFonts w:hint="eastAsia" w:ascii="Times New Roman" w:hAnsi="Times New Roman"/>
          <w:b/>
          <w:bCs/>
          <w:highlight w:val="none"/>
        </w:rPr>
        <w:t>年</w:t>
      </w:r>
      <w:r>
        <w:rPr>
          <w:rFonts w:hint="eastAsia"/>
          <w:b/>
          <w:bCs/>
          <w:highlight w:val="none"/>
          <w:lang w:val="en-US" w:eastAsia="zh-CN"/>
        </w:rPr>
        <w:t>区级公共卫生应急物资采购项目</w:t>
      </w:r>
      <w:r>
        <w:rPr>
          <w:rFonts w:hint="eastAsia" w:ascii="Times New Roman" w:hAnsi="Times New Roman"/>
          <w:b/>
          <w:bCs/>
          <w:highlight w:val="none"/>
        </w:rPr>
        <w:t>绩效评价评分表</w:t>
      </w:r>
      <w:bookmarkEnd w:id="54"/>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841"/>
        <w:gridCol w:w="969"/>
        <w:gridCol w:w="694"/>
        <w:gridCol w:w="1210"/>
        <w:gridCol w:w="827"/>
        <w:gridCol w:w="2273"/>
        <w:gridCol w:w="5759"/>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blHeader/>
        </w:trPr>
        <w:tc>
          <w:tcPr>
            <w:tcW w:w="18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评价指标</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指标说明</w:t>
            </w:r>
          </w:p>
        </w:tc>
        <w:tc>
          <w:tcPr>
            <w:tcW w:w="20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评价要点</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20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20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决策</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项目立项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立项规范性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项目立项是否符合法律法规、发展规划以及部门职责，项目申请、设立过程是否符合相关要求，用以反映和考核项目立项的规范情况。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①项目立项是否符合国家法律法规、国民经济发展规划、行业发展规划和政策要求，项目是否与部门职责范围相符，是否属于公共财政支持范围，是否符合中央、地方事权支出责任划分原则；</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②项目是否按照规定的程序申请设立，审批文件、材料是否符合相关要求；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③事前是否已经过必要的可行性研究、专家论证、风险评估、绩效评估、集体决策等。</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绩效目标</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绩效目标合理性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项目所设定的绩效目标是否依据充分，是否符合客观实际，用以反映和考核项目绩效目标与项目实施的相符情况。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①是否符合国家相关法律法规、国民经济发展规划和党委政府决策；</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②是否与项目实施单位或委托单位工作职责密切相关；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③是否为促进事业发展所必需；</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④绩效指标设置是否能有效贴合项目关键产出和效益，是否避重就轻设置绩效指标；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⑤绩效指标目标值是否符合正常水平，是否与项目目标相对应。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绩效指标明确性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依据绩效目标设定的绩效指标是否清晰、细化、可衡量等，用以反映和考核项目绩效目标的明细化情况。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①是否将项目绩效目标细化分解为具体的绩效指标；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②绩效目标是否与资金或项目属性特点、支出内容相关，目标表述是否明晰合理；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③是否设置定量、可衡量的产出、效益指标；其中产出指标至少3项，效益指标至少1项，如指标设置数量未达要求的，每缺少一项，扣0.5分。绩效指标指标值是否有清晰、具有可衡量性；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④指标值是否与项目目标任务数或计划数相对应；</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⑤是否与预算确定的项目投资额或资金量相匹配。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资金投入</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预算编制科学性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项目预算编制是否经过科学论证、有明确标准，资金额度与年度目标是否相适应，用以反映和考核项目预算编制的科学性、合理性情况。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①预算编制是否经过科学论证；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②预算内容与项目内容是否匹配；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③预算额度测算依据是否充分，是否按照标准编制；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④预算确定的项目投资额或资金量是否与工作任务相匹配。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资金分配合理性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项目预算资金分配是否有测算依据，与补助单位或地方实际是否相适应，用以反映和考核项目预算资金分配的科学性、合理性情况。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①预算资金分配依据是否充分；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②资金分配额度是否合理，与项目单位或地市实际是否相适应。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过程</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资金管理</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预算执行率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项目预算资金是否按照计划执行，用以反映或考核项目预算执行情况。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预算执行率=实际支出金额/预算资金*100%。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实际支出金额：一定时期（本年度或项目期）内项目实际拨付的资金，转移支付各县区使用的资金，按各县区实际支出总额统计。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预算金额：一定时期（本年度或项目期）内预算安排到项目的资金。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资金使用合规性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项目资金使用是否符合相关的财务管理制度规定，用以反映和考核项目资金的规范运行情况。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①资金使用是否符合国家财经法规和财务管理制度以及有关专项资金管理办法的规定；</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②资金调剂是否符合资金调剂管理要求；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③资金拨付是否有完整的审批程序和手续；</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④资金开支是否符合项目预算批复或合同规定；</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⑤是否存在截留、挤占、挪用、虚列支出等情况；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⑥会计核算是否符合政府会计制度核算要求，核算信息是否真实、完整。</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组织实施</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管理制度健全性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项目实施单位的财务和业务管理制度是否健全，用以反映和考核财务和业务管理制度对项目实施的保障情况。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①是否制定或具有相应的财务和业务管理制度；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②财务和业务管理制度完整性。管理办法要素是否完整，是否对于管理的关键环节都提出了管理要求和规范；管理要求和规范是否能够满足资金分配使用合理性与安全性要求。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制度执行有效性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项目实施是否符合相关管理规定，用以反映和考核项目相关制度的有效执行情况。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①是否遵守相关法律法规和相关管理规定；</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②项目调整及支出调整手续是否完备；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③项目合同书、验收报告、技术鉴定等资料是否齐全并及时归档；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④项目实施的人员条件、场地设备、信息支撑等是否落实单位;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⑤是否制定项目实施方案；实施方案能否对项目从组织、实施、管理、监督、风险规避等方面全流程覆盖，在重点环节方面列示重点应对措施；实施方案是否科学，单位是否具备充分的人力、物力、财力及场地开展相关的工作，项目能否在预算年度内实施；工作计划与实际执行情况是否基本匹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过程监管有效性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反映对所实施项目的检查、监控、督促等管理等情况。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①资金使用单位或基层资金管理单位建立有效管理机制，且执行情况良好得2分。                                                               ②具体根据所提供的信息证据作出判断，如各级业务主管部门按规定对项目建设或方案实施开展有效的检查、监控、督促整改的，得2分；否则，视情况扣分。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项目产出</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产出数量</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应急物资储备数量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用以考核项目应急物资储备存量是否满足应急物资储备需求。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根据采购合同书，需完成采购防护眼罩4980副、防护面罩4980个、防护服24900件、隔离衣24900套等储备数量，每出现1处供应数量不到位，扣10%权重分。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产出质量</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验收质量达标率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采购物资验收质量达标产出数与实际产出数的比率，用以反映和考核项目产出质量目标的实现程度。</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质量达标率=（质量达标产出数/实际产出数）×100%。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产出时效</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采购及时率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实际完成采购时间与计划完成采购时间的比较，用以反映和考核项目及时采购物资的实现程度。</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实际完成时间：项目实施单位完成该项目实际所耗用的时间。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计划完成时间：按照项目实施计划或相关规定完成该项目所需的时间。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①项目按计划及时完成的，得满分。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②项目未按计划及时完成的，按实际及时完成的产出数/应及时完成的产出数*指标分值；</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③其他情况酌情给分。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产出成本</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成本节约率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完成项目计划工作目标的实际节约成本与计划成本的比率，用以反映和考核项目的成本节约程度。</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成本节约率=[（计划成本-实际成本）/计划成本]×100%。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实际成本：项目实施单位如期、保质、保量完成既定工作目标实际所耗费的支出。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计划成本：项目实施单位为完成工作目标计划安排的支出，一般以项目预算为参考。</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若未发生成本超支，得满分；若发生超支，每超出1%扣除2分，直至扣完为止。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项目效益</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社会效益</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提升应急救援能力</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项目实施对经济发展、社会发展、生态环境所带来的直接或间接影响情况。</w:t>
            </w:r>
          </w:p>
        </w:tc>
        <w:tc>
          <w:tcPr>
            <w:tcW w:w="20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根据评价对象选择指标，并相应设置指标名称和分数权重。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对照绩效目标，按经济效益、社会效益、生态效益实现程度计算得分。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保障应急物资供应能力</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kern w:val="0"/>
                <w:sz w:val="21"/>
                <w:szCs w:val="21"/>
                <w:u w:val="none"/>
                <w:lang w:val="en-US" w:eastAsia="zh-CN" w:bidi="ar"/>
              </w:rPr>
            </w:pPr>
          </w:p>
        </w:tc>
        <w:tc>
          <w:tcPr>
            <w:tcW w:w="20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可持续影响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减少疫情带来的负面影响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项目实施对后续运行及成效发挥的可持续影响情况。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根据评价对象设置指标名称和分数权重。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对照绩效目标，按可持续影响实现程度计算得分。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满意度</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服务对象满意度</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领取物资单位满意度</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社会公众或服务对象是指因该项目实施而受到影响的部门（单位）、群众或个人。一般采取社会调查的方式。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可根据项目服务对象需要选择其中一种评分：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①对照绩效目标评价服务对象满意度（按优5分、良4分、中2分、差0分进行评分）。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②或按公式：（表示满意的对象数/项目覆盖范围内接受调查的对象数）*100%。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91" w:type="pct"/>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绩效评价结果实施百分制，等级一般分为五个档次，分别是：优（90-100）、良(80-89)、中(70-79)、低(60-69)、差（0-59）。</w:t>
            </w:r>
          </w:p>
        </w:tc>
        <w:tc>
          <w:tcPr>
            <w:tcW w:w="3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良</w:t>
            </w:r>
          </w:p>
        </w:tc>
      </w:tr>
    </w:tbl>
    <w:p>
      <w:pPr>
        <w:widowControl/>
        <w:ind w:firstLine="803"/>
        <w:jc w:val="center"/>
        <w:rPr>
          <w:rFonts w:ascii="Times New Roman" w:hAnsi="Times New Roman" w:eastAsiaTheme="majorEastAsia" w:cstheme="majorEastAsia"/>
          <w:b/>
          <w:kern w:val="44"/>
          <w:sz w:val="40"/>
          <w:szCs w:val="52"/>
          <w:highlight w:val="none"/>
        </w:rPr>
      </w:pPr>
    </w:p>
    <w:p>
      <w:pPr>
        <w:ind w:firstLine="640"/>
        <w:rPr>
          <w:rFonts w:ascii="Times New Roman" w:hAnsi="Times New Roman"/>
          <w:highlight w:val="none"/>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9E57BF5B-DBCE-4BD1-9A30-4727DBDC3939}"/>
  </w:font>
  <w:font w:name="黑体">
    <w:altName w:val="宋体"/>
    <w:panose1 w:val="02010609060101010101"/>
    <w:charset w:val="86"/>
    <w:family w:val="auto"/>
    <w:pitch w:val="default"/>
    <w:sig w:usb0="800002BF" w:usb1="38CF7CFA" w:usb2="00000016" w:usb3="00000000" w:csb0="00040001" w:csb1="00000000"/>
    <w:embedRegular r:id="rId2" w:fontKey="{916488D4-76A8-460D-85FE-B932F86A1E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72B97E0-BFD9-40D7-B411-68438F82043E}"/>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E07D5691-AC1D-4707-B706-CCC87CBE46D4}"/>
  </w:font>
  <w:font w:name="MingLiU">
    <w:altName w:val="PMingLiU-ExtB"/>
    <w:panose1 w:val="02010609000101010101"/>
    <w:charset w:val="88"/>
    <w:family w:val="modern"/>
    <w:pitch w:val="default"/>
    <w:sig w:usb0="00000000" w:usb1="00000000" w:usb2="00000010" w:usb3="00000000" w:csb0="00100000" w:csb1="00000000"/>
  </w:font>
  <w:font w:name="等线">
    <w:altName w:val="Arial Unicode MS"/>
    <w:panose1 w:val="02010600030101010101"/>
    <w:charset w:val="86"/>
    <w:family w:val="auto"/>
    <w:pitch w:val="default"/>
    <w:sig w:usb0="00000000" w:usb1="00000000" w:usb2="00000016" w:usb3="00000000" w:csb0="0004000F" w:csb1="00000000"/>
    <w:embedRegular r:id="rId5" w:fontKey="{0FA83528-8737-436C-8D84-3C6C624419C4}"/>
  </w:font>
  <w:font w:name="方正小标宋简体">
    <w:panose1 w:val="02000000000000000000"/>
    <w:charset w:val="86"/>
    <w:family w:val="auto"/>
    <w:pitch w:val="default"/>
    <w:sig w:usb0="00000001" w:usb1="08000000" w:usb2="00000000" w:usb3="00000000" w:csb0="00040000" w:csb1="00000000"/>
    <w:embedRegular r:id="rId6" w:fontKey="{791C9371-BF89-4BB7-BA20-DB1009F5F1FE}"/>
  </w:font>
  <w:font w:name="幼圆">
    <w:panose1 w:val="02010509060101010101"/>
    <w:charset w:val="86"/>
    <w:family w:val="modern"/>
    <w:pitch w:val="default"/>
    <w:sig w:usb0="00000001" w:usb1="080E0000" w:usb2="00000000" w:usb3="00000000" w:csb0="00040000" w:csb1="00000000"/>
    <w:embedRegular r:id="rId7" w:fontKey="{F4A95675-1036-4971-88AF-DE98033EC709}"/>
  </w:font>
  <w:font w:name="仿宋-GB2312">
    <w:altName w:val="仿宋_GB2312"/>
    <w:panose1 w:val="00000000000000000000"/>
    <w:charset w:val="00"/>
    <w:family w:val="auto"/>
    <w:pitch w:val="default"/>
    <w:sig w:usb0="00000000" w:usb1="00000000" w:usb2="00000000" w:usb3="00000000" w:csb0="00040001" w:csb1="00000000"/>
    <w:embedRegular r:id="rId8" w:fontKey="{0F812657-235B-485A-84F1-1D89F4D5BECA}"/>
  </w:font>
  <w:font w:name="楷体">
    <w:altName w:val="楷体_GB2312"/>
    <w:panose1 w:val="02010609060101010101"/>
    <w:charset w:val="86"/>
    <w:family w:val="auto"/>
    <w:pitch w:val="default"/>
    <w:sig w:usb0="00000000" w:usb1="00000000" w:usb2="00000016" w:usb3="00000000" w:csb0="00040001" w:csb1="00000000"/>
    <w:embedRegular r:id="rId9" w:fontKey="{03E63DC8-688B-42A1-A0A5-DB405A1915FD}"/>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ind w:firstLine="0" w:firstLineChars="0"/>
      <w:jc w:val="both"/>
      <w:textAlignment w:val="auto"/>
      <w:rPr>
        <w:rFonts w:hint="eastAsia" w:eastAsia="仿宋_GB2312"/>
        <w:lang w:eastAsia="zh-CN"/>
      </w:rPr>
    </w:pPr>
    <w:bookmarkStart w:id="55" w:name="_Hlk43230243"/>
    <w:bookmarkEnd w:id="55"/>
    <w:r>
      <w:rPr>
        <w:rFonts w:hint="default" w:eastAsia="方正小标宋简体"/>
        <w:b/>
        <w:bCs/>
        <w:color w:val="auto"/>
        <w:sz w:val="44"/>
        <w:szCs w:val="44"/>
      </w:rPr>
      <w:drawing>
        <wp:inline distT="0" distB="0" distL="114300" distR="114300">
          <wp:extent cx="1275715" cy="720090"/>
          <wp:effectExtent l="0" t="0" r="0" b="0"/>
          <wp:docPr id="2" name="图片 2" descr="D:\桌面\博思集团logo(1)\博思集团logo\png 透明底-01.pngpng 透明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博思集团logo(1)\博思集团logo\png 透明底-01.pngpng 透明底-01"/>
                  <pic:cNvPicPr>
                    <a:picLocks noChangeAspect="1"/>
                  </pic:cNvPicPr>
                </pic:nvPicPr>
                <pic:blipFill>
                  <a:blip r:embed="rId1"/>
                  <a:srcRect/>
                  <a:stretch>
                    <a:fillRect/>
                  </a:stretch>
                </pic:blipFill>
                <pic:spPr>
                  <a:xfrm>
                    <a:off x="0" y="0"/>
                    <a:ext cx="1275715"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1BD8E"/>
    <w:multiLevelType w:val="singleLevel"/>
    <w:tmpl w:val="BCA1BD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ZGE2N2ZmZGE0ZWYzZWM5MmYxZGFjOTBiYmQxZDkifQ=="/>
  </w:docVars>
  <w:rsids>
    <w:rsidRoot w:val="2E8C380B"/>
    <w:rsid w:val="000A4143"/>
    <w:rsid w:val="000B3370"/>
    <w:rsid w:val="00192332"/>
    <w:rsid w:val="003272CB"/>
    <w:rsid w:val="00463D41"/>
    <w:rsid w:val="00471327"/>
    <w:rsid w:val="004874D5"/>
    <w:rsid w:val="006434E3"/>
    <w:rsid w:val="006C01B4"/>
    <w:rsid w:val="006D1845"/>
    <w:rsid w:val="00797744"/>
    <w:rsid w:val="007D7F43"/>
    <w:rsid w:val="00930223"/>
    <w:rsid w:val="00C219C0"/>
    <w:rsid w:val="00C37CE4"/>
    <w:rsid w:val="00D973BE"/>
    <w:rsid w:val="00EA3255"/>
    <w:rsid w:val="00F41138"/>
    <w:rsid w:val="010C4A16"/>
    <w:rsid w:val="011E3D92"/>
    <w:rsid w:val="012401B2"/>
    <w:rsid w:val="01431A4A"/>
    <w:rsid w:val="01763BCE"/>
    <w:rsid w:val="01815D94"/>
    <w:rsid w:val="01E610AA"/>
    <w:rsid w:val="01EF337F"/>
    <w:rsid w:val="029F0F02"/>
    <w:rsid w:val="02FA25DD"/>
    <w:rsid w:val="034718C6"/>
    <w:rsid w:val="039904CA"/>
    <w:rsid w:val="043B274A"/>
    <w:rsid w:val="045D72C7"/>
    <w:rsid w:val="049A4077"/>
    <w:rsid w:val="04A978D3"/>
    <w:rsid w:val="04DF250D"/>
    <w:rsid w:val="05BB3E56"/>
    <w:rsid w:val="05F81055"/>
    <w:rsid w:val="060315E5"/>
    <w:rsid w:val="06035C4C"/>
    <w:rsid w:val="060A0D89"/>
    <w:rsid w:val="062067FE"/>
    <w:rsid w:val="068E5516"/>
    <w:rsid w:val="069006DC"/>
    <w:rsid w:val="07297404"/>
    <w:rsid w:val="072F4F4B"/>
    <w:rsid w:val="07CE6DC8"/>
    <w:rsid w:val="07F817E1"/>
    <w:rsid w:val="08580478"/>
    <w:rsid w:val="090615DC"/>
    <w:rsid w:val="09312BF9"/>
    <w:rsid w:val="09554A11"/>
    <w:rsid w:val="09861BD5"/>
    <w:rsid w:val="09DC47EA"/>
    <w:rsid w:val="0A2C4EEA"/>
    <w:rsid w:val="0A546A76"/>
    <w:rsid w:val="0A8403C1"/>
    <w:rsid w:val="0A942484"/>
    <w:rsid w:val="0A984BB5"/>
    <w:rsid w:val="0AAE7F4F"/>
    <w:rsid w:val="0ABE63BF"/>
    <w:rsid w:val="0AC305FB"/>
    <w:rsid w:val="0B61769D"/>
    <w:rsid w:val="0B694F04"/>
    <w:rsid w:val="0B723658"/>
    <w:rsid w:val="0B896BF3"/>
    <w:rsid w:val="0BF00A21"/>
    <w:rsid w:val="0BF26547"/>
    <w:rsid w:val="0C112333"/>
    <w:rsid w:val="0D4F1240"/>
    <w:rsid w:val="0D8D4779"/>
    <w:rsid w:val="0DCC47A2"/>
    <w:rsid w:val="0DEF2807"/>
    <w:rsid w:val="0DFA16E3"/>
    <w:rsid w:val="0E172295"/>
    <w:rsid w:val="0E2624D8"/>
    <w:rsid w:val="0EED1247"/>
    <w:rsid w:val="0F587009"/>
    <w:rsid w:val="0FA1450C"/>
    <w:rsid w:val="0FAB538A"/>
    <w:rsid w:val="0FB14859"/>
    <w:rsid w:val="104564BF"/>
    <w:rsid w:val="10463305"/>
    <w:rsid w:val="10D821AF"/>
    <w:rsid w:val="11553800"/>
    <w:rsid w:val="117D2D56"/>
    <w:rsid w:val="11E730B9"/>
    <w:rsid w:val="120E0E57"/>
    <w:rsid w:val="12977E48"/>
    <w:rsid w:val="12C16C73"/>
    <w:rsid w:val="12DE15D3"/>
    <w:rsid w:val="132176C9"/>
    <w:rsid w:val="132F1E2E"/>
    <w:rsid w:val="136839EE"/>
    <w:rsid w:val="136B64A5"/>
    <w:rsid w:val="136D0CB8"/>
    <w:rsid w:val="13983D48"/>
    <w:rsid w:val="13DF7311"/>
    <w:rsid w:val="14070A71"/>
    <w:rsid w:val="141420C6"/>
    <w:rsid w:val="141D25CF"/>
    <w:rsid w:val="14251D89"/>
    <w:rsid w:val="14E56ED0"/>
    <w:rsid w:val="15155054"/>
    <w:rsid w:val="154058E7"/>
    <w:rsid w:val="156E2B17"/>
    <w:rsid w:val="16CD208A"/>
    <w:rsid w:val="1703785A"/>
    <w:rsid w:val="17AA6D72"/>
    <w:rsid w:val="17AE3C6A"/>
    <w:rsid w:val="17C44A6D"/>
    <w:rsid w:val="184545EC"/>
    <w:rsid w:val="18E45469"/>
    <w:rsid w:val="196D1903"/>
    <w:rsid w:val="19866520"/>
    <w:rsid w:val="19BC26C0"/>
    <w:rsid w:val="19BE215E"/>
    <w:rsid w:val="19DF45AE"/>
    <w:rsid w:val="1A501008"/>
    <w:rsid w:val="1A69031C"/>
    <w:rsid w:val="1A8E38DF"/>
    <w:rsid w:val="1A951111"/>
    <w:rsid w:val="1A9B5FFB"/>
    <w:rsid w:val="1AD93C60"/>
    <w:rsid w:val="1AE479A2"/>
    <w:rsid w:val="1AEF6A73"/>
    <w:rsid w:val="1B043BA1"/>
    <w:rsid w:val="1B142562"/>
    <w:rsid w:val="1B8F3981"/>
    <w:rsid w:val="1C746B04"/>
    <w:rsid w:val="1C784846"/>
    <w:rsid w:val="1C893394"/>
    <w:rsid w:val="1C8F4E87"/>
    <w:rsid w:val="1CCE090A"/>
    <w:rsid w:val="1D373AAF"/>
    <w:rsid w:val="1D383FD6"/>
    <w:rsid w:val="1DB25B36"/>
    <w:rsid w:val="1DC51D0D"/>
    <w:rsid w:val="1DCC17F8"/>
    <w:rsid w:val="1E1E141D"/>
    <w:rsid w:val="1E697B4C"/>
    <w:rsid w:val="1ED104AD"/>
    <w:rsid w:val="1EEA526D"/>
    <w:rsid w:val="1F6C500E"/>
    <w:rsid w:val="1FB119C2"/>
    <w:rsid w:val="1FC3227C"/>
    <w:rsid w:val="200B7047"/>
    <w:rsid w:val="20412054"/>
    <w:rsid w:val="204333BD"/>
    <w:rsid w:val="20B33B17"/>
    <w:rsid w:val="20E66AE1"/>
    <w:rsid w:val="211F34E2"/>
    <w:rsid w:val="2136036C"/>
    <w:rsid w:val="2142743F"/>
    <w:rsid w:val="21490325"/>
    <w:rsid w:val="21B06830"/>
    <w:rsid w:val="21EB36C3"/>
    <w:rsid w:val="21F42BC1"/>
    <w:rsid w:val="22681F73"/>
    <w:rsid w:val="22D64075"/>
    <w:rsid w:val="22DC1C68"/>
    <w:rsid w:val="234E4553"/>
    <w:rsid w:val="23B24AE2"/>
    <w:rsid w:val="24466FD8"/>
    <w:rsid w:val="244B45EE"/>
    <w:rsid w:val="249064A5"/>
    <w:rsid w:val="24942439"/>
    <w:rsid w:val="252E0198"/>
    <w:rsid w:val="256C2A6E"/>
    <w:rsid w:val="2573204F"/>
    <w:rsid w:val="2580651A"/>
    <w:rsid w:val="25DA003F"/>
    <w:rsid w:val="25DC5F46"/>
    <w:rsid w:val="262D044F"/>
    <w:rsid w:val="26445799"/>
    <w:rsid w:val="2646247A"/>
    <w:rsid w:val="266D4CF0"/>
    <w:rsid w:val="267E514F"/>
    <w:rsid w:val="26963CBA"/>
    <w:rsid w:val="26FB19C3"/>
    <w:rsid w:val="279D4E07"/>
    <w:rsid w:val="27D50D9F"/>
    <w:rsid w:val="27DA0473"/>
    <w:rsid w:val="28DB56B1"/>
    <w:rsid w:val="28E374EB"/>
    <w:rsid w:val="29053F46"/>
    <w:rsid w:val="29563D11"/>
    <w:rsid w:val="298B2E27"/>
    <w:rsid w:val="299F0183"/>
    <w:rsid w:val="2A1D6A2D"/>
    <w:rsid w:val="2A8E16D9"/>
    <w:rsid w:val="2AAD6003"/>
    <w:rsid w:val="2B1345A6"/>
    <w:rsid w:val="2B5841C1"/>
    <w:rsid w:val="2B6623A4"/>
    <w:rsid w:val="2B7E174D"/>
    <w:rsid w:val="2BC43604"/>
    <w:rsid w:val="2BCC24B9"/>
    <w:rsid w:val="2C133D9F"/>
    <w:rsid w:val="2C1856FE"/>
    <w:rsid w:val="2CA376BD"/>
    <w:rsid w:val="2CA927FA"/>
    <w:rsid w:val="2CD94E8D"/>
    <w:rsid w:val="2D2D19BA"/>
    <w:rsid w:val="2D95453A"/>
    <w:rsid w:val="2DBA0995"/>
    <w:rsid w:val="2E0B2FFA"/>
    <w:rsid w:val="2E8C380B"/>
    <w:rsid w:val="2EDF69A7"/>
    <w:rsid w:val="2F087CAC"/>
    <w:rsid w:val="2F620316"/>
    <w:rsid w:val="2F81180C"/>
    <w:rsid w:val="306B49F6"/>
    <w:rsid w:val="30CD2F5B"/>
    <w:rsid w:val="30FD3EF5"/>
    <w:rsid w:val="31411253"/>
    <w:rsid w:val="31AF2660"/>
    <w:rsid w:val="31D66DA5"/>
    <w:rsid w:val="32372672"/>
    <w:rsid w:val="324D5F82"/>
    <w:rsid w:val="328E671A"/>
    <w:rsid w:val="32A001FB"/>
    <w:rsid w:val="32EA4547"/>
    <w:rsid w:val="330748E2"/>
    <w:rsid w:val="3369683F"/>
    <w:rsid w:val="338F549B"/>
    <w:rsid w:val="33E21855"/>
    <w:rsid w:val="343E7BC9"/>
    <w:rsid w:val="347E456C"/>
    <w:rsid w:val="34B85CD0"/>
    <w:rsid w:val="34D80120"/>
    <w:rsid w:val="35170C48"/>
    <w:rsid w:val="353510CF"/>
    <w:rsid w:val="35531555"/>
    <w:rsid w:val="35F0137C"/>
    <w:rsid w:val="35F44AE6"/>
    <w:rsid w:val="36154A5C"/>
    <w:rsid w:val="3651018A"/>
    <w:rsid w:val="372F6372"/>
    <w:rsid w:val="376F29CA"/>
    <w:rsid w:val="37702892"/>
    <w:rsid w:val="37C36E66"/>
    <w:rsid w:val="37FC4126"/>
    <w:rsid w:val="388757C8"/>
    <w:rsid w:val="38BE13DB"/>
    <w:rsid w:val="38C50550"/>
    <w:rsid w:val="38D02E84"/>
    <w:rsid w:val="39567860"/>
    <w:rsid w:val="398A5FD6"/>
    <w:rsid w:val="39C90037"/>
    <w:rsid w:val="39DA2245"/>
    <w:rsid w:val="39F0588B"/>
    <w:rsid w:val="3AFB2473"/>
    <w:rsid w:val="3B021A53"/>
    <w:rsid w:val="3B131EB2"/>
    <w:rsid w:val="3B2714BA"/>
    <w:rsid w:val="3B567FF1"/>
    <w:rsid w:val="3B62267A"/>
    <w:rsid w:val="3B786E13"/>
    <w:rsid w:val="3B7E3077"/>
    <w:rsid w:val="3BBF7944"/>
    <w:rsid w:val="3BC97798"/>
    <w:rsid w:val="3C382E89"/>
    <w:rsid w:val="3C746980"/>
    <w:rsid w:val="3CF655E7"/>
    <w:rsid w:val="3D2469C6"/>
    <w:rsid w:val="3D29776B"/>
    <w:rsid w:val="3D8815AE"/>
    <w:rsid w:val="3D954E00"/>
    <w:rsid w:val="3D9D1F07"/>
    <w:rsid w:val="3DBD26C3"/>
    <w:rsid w:val="3DDB658B"/>
    <w:rsid w:val="3E772A35"/>
    <w:rsid w:val="3F2438A5"/>
    <w:rsid w:val="3FA550A3"/>
    <w:rsid w:val="3FB13A48"/>
    <w:rsid w:val="407B5F4A"/>
    <w:rsid w:val="40AE05CA"/>
    <w:rsid w:val="40C31C84"/>
    <w:rsid w:val="40F005A0"/>
    <w:rsid w:val="410966ED"/>
    <w:rsid w:val="417A7C98"/>
    <w:rsid w:val="41A01FC6"/>
    <w:rsid w:val="41E579D9"/>
    <w:rsid w:val="42336A5A"/>
    <w:rsid w:val="425F0146"/>
    <w:rsid w:val="426E5C20"/>
    <w:rsid w:val="428C47F4"/>
    <w:rsid w:val="42AE762D"/>
    <w:rsid w:val="42B37AD7"/>
    <w:rsid w:val="432A7D99"/>
    <w:rsid w:val="438C45B0"/>
    <w:rsid w:val="44020D16"/>
    <w:rsid w:val="44512E15"/>
    <w:rsid w:val="44F7014F"/>
    <w:rsid w:val="45695B88"/>
    <w:rsid w:val="459C6561"/>
    <w:rsid w:val="45B31632"/>
    <w:rsid w:val="46607F75"/>
    <w:rsid w:val="46841EB6"/>
    <w:rsid w:val="46CC1167"/>
    <w:rsid w:val="46E26090"/>
    <w:rsid w:val="4780228B"/>
    <w:rsid w:val="47B95B8F"/>
    <w:rsid w:val="47D159DD"/>
    <w:rsid w:val="47F51828"/>
    <w:rsid w:val="480021D0"/>
    <w:rsid w:val="483C66E1"/>
    <w:rsid w:val="488F68F0"/>
    <w:rsid w:val="48A203D1"/>
    <w:rsid w:val="48FA645F"/>
    <w:rsid w:val="48FC3F85"/>
    <w:rsid w:val="493A64F6"/>
    <w:rsid w:val="497E2BEC"/>
    <w:rsid w:val="4A1C0FE0"/>
    <w:rsid w:val="4A527BD5"/>
    <w:rsid w:val="4ABF170F"/>
    <w:rsid w:val="4ADA02F6"/>
    <w:rsid w:val="4B0E1D4E"/>
    <w:rsid w:val="4B2E78EB"/>
    <w:rsid w:val="4BCD7E5B"/>
    <w:rsid w:val="4C0849EF"/>
    <w:rsid w:val="4C2537F3"/>
    <w:rsid w:val="4D0C49B3"/>
    <w:rsid w:val="4D137AF0"/>
    <w:rsid w:val="4D151ABA"/>
    <w:rsid w:val="4D18493E"/>
    <w:rsid w:val="4D880163"/>
    <w:rsid w:val="4D8D5454"/>
    <w:rsid w:val="4DB13A82"/>
    <w:rsid w:val="4E426E49"/>
    <w:rsid w:val="4F1751FE"/>
    <w:rsid w:val="4F2D5889"/>
    <w:rsid w:val="4FDA0B06"/>
    <w:rsid w:val="4FDE2637"/>
    <w:rsid w:val="507C1E50"/>
    <w:rsid w:val="509C7DFC"/>
    <w:rsid w:val="51136310"/>
    <w:rsid w:val="513F7105"/>
    <w:rsid w:val="51654692"/>
    <w:rsid w:val="516D6ED1"/>
    <w:rsid w:val="51D159DC"/>
    <w:rsid w:val="51D33CF1"/>
    <w:rsid w:val="52674B8F"/>
    <w:rsid w:val="52915273"/>
    <w:rsid w:val="52F65B42"/>
    <w:rsid w:val="53073C5F"/>
    <w:rsid w:val="541505F1"/>
    <w:rsid w:val="542579E2"/>
    <w:rsid w:val="542D593B"/>
    <w:rsid w:val="5444074F"/>
    <w:rsid w:val="547A48F8"/>
    <w:rsid w:val="54ED6E78"/>
    <w:rsid w:val="55052414"/>
    <w:rsid w:val="55085FEE"/>
    <w:rsid w:val="55794BB0"/>
    <w:rsid w:val="55912B89"/>
    <w:rsid w:val="55C71477"/>
    <w:rsid w:val="55E62245"/>
    <w:rsid w:val="564F5972"/>
    <w:rsid w:val="565F2C06"/>
    <w:rsid w:val="566067AF"/>
    <w:rsid w:val="56643ED0"/>
    <w:rsid w:val="566706D7"/>
    <w:rsid w:val="567431B2"/>
    <w:rsid w:val="56C97471"/>
    <w:rsid w:val="572D2881"/>
    <w:rsid w:val="57723665"/>
    <w:rsid w:val="57C10724"/>
    <w:rsid w:val="57E02CC4"/>
    <w:rsid w:val="58020E8D"/>
    <w:rsid w:val="580E4381"/>
    <w:rsid w:val="5855720E"/>
    <w:rsid w:val="58902E07"/>
    <w:rsid w:val="593029DB"/>
    <w:rsid w:val="593E4146"/>
    <w:rsid w:val="59E37CC4"/>
    <w:rsid w:val="5A1629CD"/>
    <w:rsid w:val="5A2C0443"/>
    <w:rsid w:val="5A8F611C"/>
    <w:rsid w:val="5ACE32A8"/>
    <w:rsid w:val="5AED1980"/>
    <w:rsid w:val="5C1C6265"/>
    <w:rsid w:val="5C381321"/>
    <w:rsid w:val="5C73635A"/>
    <w:rsid w:val="5CAE15E3"/>
    <w:rsid w:val="5CB04CF5"/>
    <w:rsid w:val="5CBE22DD"/>
    <w:rsid w:val="5CE70651"/>
    <w:rsid w:val="5CF53455"/>
    <w:rsid w:val="5D2923FB"/>
    <w:rsid w:val="5D2C7EAC"/>
    <w:rsid w:val="5D3D64C3"/>
    <w:rsid w:val="5DCA244C"/>
    <w:rsid w:val="5DDE1A54"/>
    <w:rsid w:val="5EBB3B43"/>
    <w:rsid w:val="5EF7101F"/>
    <w:rsid w:val="5F00594A"/>
    <w:rsid w:val="5F3C1128"/>
    <w:rsid w:val="5FA10F8B"/>
    <w:rsid w:val="5FD90725"/>
    <w:rsid w:val="600A2FD4"/>
    <w:rsid w:val="61300818"/>
    <w:rsid w:val="613320B7"/>
    <w:rsid w:val="617A5F38"/>
    <w:rsid w:val="619101BF"/>
    <w:rsid w:val="61B96A60"/>
    <w:rsid w:val="61E35696"/>
    <w:rsid w:val="62522A10"/>
    <w:rsid w:val="62594691"/>
    <w:rsid w:val="62922E0D"/>
    <w:rsid w:val="635460B3"/>
    <w:rsid w:val="637D1D0F"/>
    <w:rsid w:val="637F5A87"/>
    <w:rsid w:val="63931F23"/>
    <w:rsid w:val="642E6B65"/>
    <w:rsid w:val="643748D8"/>
    <w:rsid w:val="648570CD"/>
    <w:rsid w:val="649E2BDB"/>
    <w:rsid w:val="64C44356"/>
    <w:rsid w:val="64D21BE7"/>
    <w:rsid w:val="64D67929"/>
    <w:rsid w:val="64FA59A3"/>
    <w:rsid w:val="64FF2BD6"/>
    <w:rsid w:val="65031DA0"/>
    <w:rsid w:val="65165410"/>
    <w:rsid w:val="658D4370"/>
    <w:rsid w:val="659F0F43"/>
    <w:rsid w:val="65B761F3"/>
    <w:rsid w:val="65C96788"/>
    <w:rsid w:val="66611474"/>
    <w:rsid w:val="666437C4"/>
    <w:rsid w:val="666F4F3B"/>
    <w:rsid w:val="66C07BD0"/>
    <w:rsid w:val="66F45E44"/>
    <w:rsid w:val="67010561"/>
    <w:rsid w:val="671D24EB"/>
    <w:rsid w:val="67617BCE"/>
    <w:rsid w:val="67653FB0"/>
    <w:rsid w:val="6787315C"/>
    <w:rsid w:val="67B62606"/>
    <w:rsid w:val="67CE31DD"/>
    <w:rsid w:val="67E20393"/>
    <w:rsid w:val="685E210F"/>
    <w:rsid w:val="687D0106"/>
    <w:rsid w:val="68BC7268"/>
    <w:rsid w:val="69382960"/>
    <w:rsid w:val="69513A22"/>
    <w:rsid w:val="69C97A5C"/>
    <w:rsid w:val="6ABE2860"/>
    <w:rsid w:val="6AE21C84"/>
    <w:rsid w:val="6B1F04FD"/>
    <w:rsid w:val="6B284C36"/>
    <w:rsid w:val="6B476E8A"/>
    <w:rsid w:val="6B496D68"/>
    <w:rsid w:val="6BDE1F38"/>
    <w:rsid w:val="6C1F5711"/>
    <w:rsid w:val="6C5E0930"/>
    <w:rsid w:val="6C6770B8"/>
    <w:rsid w:val="6C943FB9"/>
    <w:rsid w:val="6CBA000C"/>
    <w:rsid w:val="6CF34171"/>
    <w:rsid w:val="6D374CDD"/>
    <w:rsid w:val="6DE36C13"/>
    <w:rsid w:val="6DEE5CE3"/>
    <w:rsid w:val="6E113780"/>
    <w:rsid w:val="6EB72579"/>
    <w:rsid w:val="6F011A46"/>
    <w:rsid w:val="6F07608B"/>
    <w:rsid w:val="6F1572A0"/>
    <w:rsid w:val="6F3E2352"/>
    <w:rsid w:val="6F906926"/>
    <w:rsid w:val="70D311C0"/>
    <w:rsid w:val="70EE5FFA"/>
    <w:rsid w:val="720E0702"/>
    <w:rsid w:val="721E0808"/>
    <w:rsid w:val="724F7AAC"/>
    <w:rsid w:val="72B666A4"/>
    <w:rsid w:val="72EE22E1"/>
    <w:rsid w:val="732B52E4"/>
    <w:rsid w:val="73373C88"/>
    <w:rsid w:val="73730876"/>
    <w:rsid w:val="73AB01D2"/>
    <w:rsid w:val="74504DAA"/>
    <w:rsid w:val="749A50C5"/>
    <w:rsid w:val="74DA2B1D"/>
    <w:rsid w:val="75107333"/>
    <w:rsid w:val="752017C3"/>
    <w:rsid w:val="75A46AB5"/>
    <w:rsid w:val="75AE7990"/>
    <w:rsid w:val="75D03F20"/>
    <w:rsid w:val="7627335E"/>
    <w:rsid w:val="76277FE4"/>
    <w:rsid w:val="76A07D97"/>
    <w:rsid w:val="76C770D1"/>
    <w:rsid w:val="76E06FF0"/>
    <w:rsid w:val="77106680"/>
    <w:rsid w:val="773553C0"/>
    <w:rsid w:val="77A85155"/>
    <w:rsid w:val="77B91110"/>
    <w:rsid w:val="783F59BA"/>
    <w:rsid w:val="784F3822"/>
    <w:rsid w:val="786F7A21"/>
    <w:rsid w:val="78FF0DA4"/>
    <w:rsid w:val="79050231"/>
    <w:rsid w:val="79A615EA"/>
    <w:rsid w:val="79C21070"/>
    <w:rsid w:val="79D74E7B"/>
    <w:rsid w:val="79DF4732"/>
    <w:rsid w:val="79F301DD"/>
    <w:rsid w:val="79F54A3E"/>
    <w:rsid w:val="7A8C2B0C"/>
    <w:rsid w:val="7AAF5407"/>
    <w:rsid w:val="7AE01F1D"/>
    <w:rsid w:val="7B77189B"/>
    <w:rsid w:val="7B9D2AF7"/>
    <w:rsid w:val="7C56383F"/>
    <w:rsid w:val="7CBE0542"/>
    <w:rsid w:val="7CFB5D27"/>
    <w:rsid w:val="7DAC49CA"/>
    <w:rsid w:val="7DF1582D"/>
    <w:rsid w:val="7E8835EA"/>
    <w:rsid w:val="7F7E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5"/>
    <w:qFormat/>
    <w:uiPriority w:val="0"/>
    <w:pPr>
      <w:keepNext/>
      <w:keepLines/>
      <w:spacing w:before="50" w:beforeLines="50" w:after="50" w:afterLines="50"/>
      <w:outlineLvl w:val="0"/>
    </w:pPr>
    <w:rPr>
      <w:rFonts w:eastAsia="黑体"/>
      <w:bCs/>
      <w:kern w:val="44"/>
      <w:szCs w:val="44"/>
    </w:rPr>
  </w:style>
  <w:style w:type="paragraph" w:styleId="3">
    <w:name w:val="heading 2"/>
    <w:basedOn w:val="1"/>
    <w:next w:val="1"/>
    <w:link w:val="26"/>
    <w:unhideWhenUsed/>
    <w:qFormat/>
    <w:uiPriority w:val="0"/>
    <w:pPr>
      <w:keepNext/>
      <w:keepLines/>
      <w:spacing w:before="50" w:beforeLines="50" w:after="50" w:afterLines="50"/>
      <w:outlineLvl w:val="1"/>
    </w:pPr>
    <w:rPr>
      <w:rFonts w:eastAsia="楷体_GB2312" w:asciiTheme="majorHAnsi" w:hAnsiTheme="majorHAnsi" w:cstheme="majorBidi"/>
      <w:b/>
      <w:bCs/>
      <w:szCs w:val="32"/>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qFormat/>
    <w:uiPriority w:val="0"/>
    <w:pPr>
      <w:jc w:val="left"/>
    </w:pPr>
  </w:style>
  <w:style w:type="paragraph" w:styleId="6">
    <w:name w:val="Body Text"/>
    <w:basedOn w:val="1"/>
    <w:qFormat/>
    <w:uiPriority w:val="0"/>
    <w:rPr>
      <w:rFonts w:ascii="仿宋_GB2312"/>
      <w:sz w:val="36"/>
      <w:szCs w:val="32"/>
    </w:rPr>
  </w:style>
  <w:style w:type="paragraph" w:styleId="7">
    <w:name w:val="Body Text Indent"/>
    <w:basedOn w:val="1"/>
    <w:next w:val="8"/>
    <w:unhideWhenUsed/>
    <w:qFormat/>
    <w:uiPriority w:val="99"/>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Balloon Text"/>
    <w:basedOn w:val="1"/>
    <w:link w:val="29"/>
    <w:qFormat/>
    <w:uiPriority w:val="0"/>
    <w:pPr>
      <w:spacing w:line="240" w:lineRule="auto"/>
    </w:pPr>
    <w:rPr>
      <w:sz w:val="18"/>
      <w:szCs w:val="18"/>
    </w:rPr>
  </w:style>
  <w:style w:type="paragraph" w:styleId="10">
    <w:name w:val="footer"/>
    <w:basedOn w:val="1"/>
    <w:link w:val="31"/>
    <w:qFormat/>
    <w:uiPriority w:val="0"/>
    <w:pPr>
      <w:tabs>
        <w:tab w:val="center" w:pos="4153"/>
        <w:tab w:val="right" w:pos="8306"/>
      </w:tabs>
      <w:snapToGrid w:val="0"/>
      <w:spacing w:line="240" w:lineRule="atLeast"/>
      <w:jc w:val="left"/>
    </w:pPr>
    <w:rPr>
      <w:sz w:val="18"/>
      <w:szCs w:val="18"/>
    </w:rPr>
  </w:style>
  <w:style w:type="paragraph" w:styleId="11">
    <w:name w:val="header"/>
    <w:basedOn w:val="1"/>
    <w:link w:val="3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annotation subject"/>
    <w:basedOn w:val="5"/>
    <w:next w:val="5"/>
    <w:link w:val="39"/>
    <w:qFormat/>
    <w:uiPriority w:val="0"/>
    <w:rPr>
      <w:b/>
      <w:bCs/>
    </w:rPr>
  </w:style>
  <w:style w:type="paragraph" w:styleId="15">
    <w:name w:val="Body Text First Indent 2"/>
    <w:basedOn w:val="7"/>
    <w:qFormat/>
    <w:uiPriority w:val="0"/>
    <w:pPr>
      <w:adjustRightInd w:val="0"/>
      <w:snapToGrid w:val="0"/>
      <w:spacing w:line="360" w:lineRule="auto"/>
      <w:ind w:left="0" w:leftChars="0" w:firstLine="880" w:firstLineChars="200"/>
    </w:pPr>
    <w:rPr>
      <w:rFonts w:ascii="Times New Roman" w:hAnsi="Times New Roman" w:eastAsia="仿宋_GB2312"/>
      <w:sz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qFormat/>
    <w:uiPriority w:val="99"/>
    <w:rPr>
      <w:color w:val="0000FF"/>
      <w:u w:val="single"/>
    </w:rPr>
  </w:style>
  <w:style w:type="character" w:styleId="22">
    <w:name w:val="annotation reference"/>
    <w:basedOn w:val="18"/>
    <w:qFormat/>
    <w:uiPriority w:val="0"/>
    <w:rPr>
      <w:sz w:val="21"/>
      <w:szCs w:val="21"/>
    </w:rPr>
  </w:style>
  <w:style w:type="paragraph" w:customStyle="1" w:styleId="23">
    <w:name w:val="Heading1"/>
    <w:basedOn w:val="1"/>
    <w:next w:val="1"/>
    <w:qFormat/>
    <w:uiPriority w:val="0"/>
    <w:pPr>
      <w:keepNext/>
      <w:spacing w:line="520" w:lineRule="exact"/>
      <w:jc w:val="center"/>
      <w:textAlignment w:val="baseline"/>
    </w:pPr>
    <w:rPr>
      <w:rFonts w:ascii="黑体" w:cs="Times New Roman"/>
      <w:b/>
      <w:bCs/>
      <w:kern w:val="2"/>
      <w:sz w:val="28"/>
      <w:szCs w:val="24"/>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标题 1 Char"/>
    <w:basedOn w:val="18"/>
    <w:link w:val="2"/>
    <w:qFormat/>
    <w:uiPriority w:val="0"/>
    <w:rPr>
      <w:rFonts w:eastAsia="黑体"/>
      <w:bCs/>
      <w:kern w:val="44"/>
      <w:sz w:val="32"/>
      <w:szCs w:val="44"/>
    </w:rPr>
  </w:style>
  <w:style w:type="character" w:customStyle="1" w:styleId="26">
    <w:name w:val="标题 2 Char"/>
    <w:basedOn w:val="18"/>
    <w:link w:val="3"/>
    <w:qFormat/>
    <w:uiPriority w:val="0"/>
    <w:rPr>
      <w:rFonts w:eastAsia="楷体_GB2312" w:asciiTheme="majorHAnsi" w:hAnsiTheme="majorHAnsi" w:cstheme="majorBidi"/>
      <w:b/>
      <w:bCs/>
      <w:kern w:val="2"/>
      <w:sz w:val="32"/>
      <w:szCs w:val="32"/>
    </w:rPr>
  </w:style>
  <w:style w:type="character" w:customStyle="1" w:styleId="27">
    <w:name w:val="font41"/>
    <w:qFormat/>
    <w:uiPriority w:val="0"/>
    <w:rPr>
      <w:rFonts w:hint="default" w:ascii="Times New Roman" w:hAnsi="Times New Roman" w:cs="Times New Roman"/>
      <w:color w:val="000000"/>
      <w:sz w:val="20"/>
      <w:szCs w:val="20"/>
      <w:u w:val="none"/>
    </w:rPr>
  </w:style>
  <w:style w:type="character" w:customStyle="1" w:styleId="28">
    <w:name w:val="font01"/>
    <w:basedOn w:val="18"/>
    <w:qFormat/>
    <w:uiPriority w:val="0"/>
    <w:rPr>
      <w:rFonts w:hint="eastAsia" w:ascii="宋体" w:hAnsi="宋体" w:eastAsia="宋体" w:cs="宋体"/>
      <w:color w:val="000000"/>
      <w:sz w:val="20"/>
      <w:szCs w:val="20"/>
      <w:u w:val="none"/>
    </w:rPr>
  </w:style>
  <w:style w:type="character" w:customStyle="1" w:styleId="29">
    <w:name w:val="批注框文本 Char"/>
    <w:basedOn w:val="18"/>
    <w:link w:val="9"/>
    <w:qFormat/>
    <w:uiPriority w:val="0"/>
    <w:rPr>
      <w:rFonts w:eastAsia="仿宋_GB2312"/>
      <w:kern w:val="2"/>
      <w:sz w:val="18"/>
      <w:szCs w:val="18"/>
    </w:rPr>
  </w:style>
  <w:style w:type="character" w:customStyle="1" w:styleId="30">
    <w:name w:val="页眉 Char"/>
    <w:basedOn w:val="18"/>
    <w:link w:val="11"/>
    <w:qFormat/>
    <w:uiPriority w:val="0"/>
    <w:rPr>
      <w:rFonts w:eastAsia="仿宋_GB2312"/>
      <w:kern w:val="2"/>
      <w:sz w:val="18"/>
      <w:szCs w:val="18"/>
    </w:rPr>
  </w:style>
  <w:style w:type="character" w:customStyle="1" w:styleId="31">
    <w:name w:val="页脚 Char"/>
    <w:basedOn w:val="18"/>
    <w:link w:val="10"/>
    <w:qFormat/>
    <w:uiPriority w:val="0"/>
    <w:rPr>
      <w:rFonts w:eastAsia="仿宋_GB2312"/>
      <w:kern w:val="2"/>
      <w:sz w:val="18"/>
      <w:szCs w:val="1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5">
    <w:name w:val="Heading #3|1"/>
    <w:basedOn w:val="1"/>
    <w:qFormat/>
    <w:uiPriority w:val="0"/>
    <w:pPr>
      <w:spacing w:after="340" w:line="381" w:lineRule="exact"/>
      <w:jc w:val="center"/>
      <w:outlineLvl w:val="2"/>
    </w:pPr>
    <w:rPr>
      <w:rFonts w:ascii="MingLiU" w:hAnsi="MingLiU" w:eastAsia="MingLiU" w:cs="MingLiU"/>
      <w:lang w:val="zh-TW" w:eastAsia="zh-TW" w:bidi="zh-TW"/>
    </w:rPr>
  </w:style>
  <w:style w:type="character" w:customStyle="1" w:styleId="36">
    <w:name w:val="font31"/>
    <w:basedOn w:val="18"/>
    <w:qFormat/>
    <w:uiPriority w:val="0"/>
    <w:rPr>
      <w:rFonts w:hint="eastAsia" w:ascii="仿宋_GB2312" w:eastAsia="仿宋_GB2312" w:cs="仿宋_GB2312"/>
      <w:color w:val="000000"/>
      <w:sz w:val="20"/>
      <w:szCs w:val="20"/>
      <w:u w:val="none"/>
    </w:rPr>
  </w:style>
  <w:style w:type="character" w:customStyle="1" w:styleId="37">
    <w:name w:val="font21"/>
    <w:basedOn w:val="18"/>
    <w:qFormat/>
    <w:uiPriority w:val="0"/>
    <w:rPr>
      <w:rFonts w:hint="eastAsia" w:ascii="仿宋_GB2312" w:eastAsia="仿宋_GB2312" w:cs="仿宋_GB2312"/>
      <w:b/>
      <w:bCs/>
      <w:color w:val="000000"/>
      <w:sz w:val="20"/>
      <w:szCs w:val="20"/>
      <w:u w:val="none"/>
    </w:rPr>
  </w:style>
  <w:style w:type="character" w:customStyle="1" w:styleId="38">
    <w:name w:val="批注文字 Char"/>
    <w:basedOn w:val="18"/>
    <w:link w:val="5"/>
    <w:qFormat/>
    <w:uiPriority w:val="0"/>
    <w:rPr>
      <w:rFonts w:eastAsia="仿宋_GB2312"/>
      <w:kern w:val="2"/>
      <w:sz w:val="32"/>
      <w:szCs w:val="24"/>
    </w:rPr>
  </w:style>
  <w:style w:type="character" w:customStyle="1" w:styleId="39">
    <w:name w:val="批注主题 Char"/>
    <w:basedOn w:val="38"/>
    <w:link w:val="14"/>
    <w:qFormat/>
    <w:uiPriority w:val="0"/>
    <w:rPr>
      <w:rFonts w:eastAsia="仿宋_GB2312"/>
      <w:b/>
      <w:bCs/>
      <w:kern w:val="2"/>
      <w:sz w:val="32"/>
      <w:szCs w:val="24"/>
    </w:rPr>
  </w:style>
  <w:style w:type="paragraph" w:customStyle="1" w:styleId="40">
    <w:name w:val="正文（缩进）"/>
    <w:basedOn w:val="1"/>
    <w:qFormat/>
    <w:uiPriority w:val="0"/>
    <w:pPr>
      <w:widowControl w:val="0"/>
      <w:spacing w:before="156" w:beforeLines="50" w:after="156" w:afterLines="50" w:line="360" w:lineRule="auto"/>
      <w:ind w:firstLine="480" w:firstLineChars="200"/>
      <w:jc w:val="both"/>
    </w:pPr>
    <w:rPr>
      <w:rFonts w:asciiTheme="minorHAnsi" w:hAnsiTheme="minorHAnsi" w:eastAsiaTheme="minorEastAsia" w:cstheme="minorBidi"/>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35</Pages>
  <Words>16022</Words>
  <Characters>16783</Characters>
  <Lines>119</Lines>
  <Paragraphs>33</Paragraphs>
  <TotalTime>27</TotalTime>
  <ScaleCrop>false</ScaleCrop>
  <LinksUpToDate>false</LinksUpToDate>
  <CharactersWithSpaces>17055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2021-12-01T03:39:00Z</dcterms:created>
  <dc:creator>念念</dc:creator>
  <cp:lastModifiedBy>黄婉如</cp:lastModifiedBy>
  <dcterms:modified xsi:type="dcterms:W3CDTF">2023-11-14T07:26:35Z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45963477485A426CA50B55C1573027F6</vt:lpwstr>
  </property>
</Properties>
</file>