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left"/>
        <w:textAlignment w:val="auto"/>
        <w:outlineLvl w:val="0"/>
        <w:rPr>
          <w:rFonts w:hint="default" w:ascii="黑体" w:hAnsi="黑体" w:eastAsia="黑体"/>
          <w:sz w:val="32"/>
          <w:szCs w:val="32"/>
          <w:lang w:val="en-US" w:eastAsia="zh-CN"/>
        </w:rPr>
      </w:pPr>
      <w:r>
        <w:rPr>
          <w:rFonts w:hint="eastAsia" w:ascii="黑体" w:hAnsi="黑体" w:eastAsia="黑体"/>
          <w:sz w:val="32"/>
          <w:szCs w:val="32"/>
          <w:lang w:eastAsia="zh-CN"/>
        </w:rPr>
        <w:t>附件</w:t>
      </w:r>
      <w:r>
        <w:rPr>
          <w:rFonts w:hint="eastAsia" w:ascii="黑体" w:hAnsi="黑体" w:eastAsia="黑体"/>
          <w:sz w:val="32"/>
          <w:szCs w:val="32"/>
          <w:lang w:val="en-US" w:eastAsia="zh-CN"/>
        </w:rPr>
        <w:t>2：</w:t>
      </w:r>
    </w:p>
    <w:p>
      <w:pPr>
        <w:pStyle w:val="3"/>
        <w:keepNext w:val="0"/>
        <w:keepLines w:val="0"/>
        <w:pageBreakBefore w:val="0"/>
        <w:widowControl w:val="0"/>
        <w:kinsoku/>
        <w:wordWrap/>
        <w:overflowPunct/>
        <w:topLinePunct w:val="0"/>
        <w:autoSpaceDE/>
        <w:autoSpaceDN/>
        <w:bidi w:val="0"/>
        <w:adjustRightInd/>
        <w:snapToGrid/>
        <w:spacing w:line="450" w:lineRule="exact"/>
        <w:textAlignment w:val="auto"/>
        <w:rPr>
          <w:rFonts w:hint="eastAsia"/>
          <w:lang w:eastAsia="zh-CN"/>
        </w:rPr>
      </w:pPr>
      <w:r>
        <w:rPr>
          <w:rFonts w:hint="eastAsia"/>
          <w:lang w:eastAsia="zh-CN"/>
        </w:rPr>
        <w:t>潮州市电动自行车以旧换新活动参与</w:t>
      </w:r>
    </w:p>
    <w:p>
      <w:pPr>
        <w:pStyle w:val="3"/>
        <w:keepNext w:val="0"/>
        <w:keepLines w:val="0"/>
        <w:pageBreakBefore w:val="0"/>
        <w:widowControl w:val="0"/>
        <w:kinsoku/>
        <w:wordWrap/>
        <w:overflowPunct/>
        <w:topLinePunct w:val="0"/>
        <w:autoSpaceDE/>
        <w:autoSpaceDN/>
        <w:bidi w:val="0"/>
        <w:adjustRightInd/>
        <w:snapToGrid/>
        <w:spacing w:line="450" w:lineRule="exact"/>
        <w:textAlignment w:val="auto"/>
        <w:rPr>
          <w:rFonts w:hint="eastAsia"/>
          <w:lang w:val="en-US" w:eastAsia="zh-CN"/>
        </w:rPr>
      </w:pPr>
      <w:r>
        <w:rPr>
          <w:rFonts w:hint="eastAsia"/>
          <w:lang w:eastAsia="zh-CN"/>
        </w:rPr>
        <w:t>商家承诺书</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eastAsia="仿宋_GB2312"/>
          <w:sz w:val="32"/>
          <w:szCs w:val="32"/>
          <w:lang w:val="en-US" w:eastAsia="zh-CN"/>
        </w:rPr>
        <w:t>本</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rPr>
        <w:t>统一社会信用代码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eastAsia="仿宋_GB2312"/>
          <w:sz w:val="32"/>
          <w:szCs w:val="32"/>
          <w:lang w:val="en-US" w:eastAsia="zh-CN"/>
        </w:rPr>
        <w:t>自愿报名参加潮州市电动自行车“以旧换新”活动,了解遵守规则要</w:t>
      </w:r>
      <w:r>
        <w:rPr>
          <w:rFonts w:hint="eastAsia" w:ascii="仿宋_GB2312" w:hAnsi="仿宋_GB2312" w:eastAsia="仿宋_GB2312" w:cs="仿宋_GB2312"/>
          <w:kern w:val="2"/>
          <w:sz w:val="32"/>
          <w:szCs w:val="32"/>
          <w:lang w:val="en-US" w:eastAsia="zh-CN" w:bidi="ar-SA"/>
        </w:rPr>
        <w:t>求</w:t>
      </w:r>
      <w:r>
        <w:rPr>
          <w:rFonts w:hint="eastAsia" w:ascii="仿宋_GB2312" w:eastAsia="仿宋_GB2312"/>
          <w:sz w:val="32"/>
          <w:szCs w:val="32"/>
          <w:lang w:val="en-US" w:eastAsia="zh-CN"/>
        </w:rPr>
        <w:t>并作以下承诺：</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default" w:ascii="仿宋_GB2312" w:hAnsi="仿宋_GB2312" w:eastAsia="仿宋_GB2312" w:cs="仿宋_GB2312"/>
          <w:kern w:val="2"/>
          <w:sz w:val="32"/>
          <w:szCs w:val="32"/>
          <w:lang w:val="en-US" w:eastAsia="zh-CN" w:bidi="ar-SA"/>
        </w:rPr>
      </w:pPr>
      <w:r>
        <w:rPr>
          <w:rFonts w:hint="eastAsia" w:ascii="仿宋_GB2312" w:eastAsia="仿宋_GB2312"/>
          <w:sz w:val="32"/>
          <w:szCs w:val="32"/>
          <w:lang w:val="en-US" w:eastAsia="zh-CN"/>
        </w:rPr>
        <w:t>“以旧换新”</w:t>
      </w:r>
      <w:r>
        <w:rPr>
          <w:rFonts w:hint="eastAsia" w:ascii="仿宋_GB2312" w:hAnsi="仿宋_GB2312" w:eastAsia="仿宋_GB2312" w:cs="仿宋_GB2312"/>
          <w:kern w:val="2"/>
          <w:sz w:val="32"/>
          <w:szCs w:val="32"/>
          <w:lang w:val="en-US" w:eastAsia="zh-CN" w:bidi="ar-SA"/>
        </w:rPr>
        <w:t>的电动自行车产品价格为正常市场价或活动优惠价。</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加强销售网点现场管理，杜绝商场内出现非法中介人员或驻店厂商人员向车辆购买人兜售旧车或凭证。</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能及时准确地提供</w:t>
      </w:r>
      <w:r>
        <w:rPr>
          <w:rFonts w:hint="eastAsia" w:ascii="仿宋_GB2312" w:eastAsia="仿宋_GB2312"/>
          <w:sz w:val="32"/>
          <w:szCs w:val="32"/>
          <w:lang w:val="en-US" w:eastAsia="zh-CN"/>
        </w:rPr>
        <w:t>电动自行车“以旧换新”</w:t>
      </w:r>
      <w:r>
        <w:rPr>
          <w:rFonts w:hint="eastAsia" w:ascii="仿宋_GB2312" w:hAnsi="仿宋_GB2312" w:eastAsia="仿宋_GB2312" w:cs="仿宋_GB2312"/>
          <w:kern w:val="2"/>
          <w:sz w:val="32"/>
          <w:szCs w:val="32"/>
          <w:lang w:val="en-US" w:eastAsia="zh-CN" w:bidi="ar-SA"/>
        </w:rPr>
        <w:t>凭证的所有信息，包括</w:t>
      </w:r>
      <w:r>
        <w:rPr>
          <w:rFonts w:hint="eastAsia" w:ascii="仿宋_GB2312" w:hAnsi="仿宋_GB2312" w:eastAsia="仿宋_GB2312" w:cs="仿宋_GB2312"/>
          <w:color w:val="auto"/>
          <w:kern w:val="0"/>
          <w:sz w:val="32"/>
          <w:szCs w:val="32"/>
          <w:u w:val="none" w:color="auto"/>
          <w:lang w:val="en-US" w:eastAsia="zh-CN" w:bidi="ar"/>
        </w:rPr>
        <w:t>旧车回收证明、注销证明、新车发票、新车合格证、行驶证</w:t>
      </w:r>
      <w:r>
        <w:rPr>
          <w:rFonts w:hint="eastAsia" w:ascii="仿宋_GB2312" w:hAnsi="仿宋_GB2312" w:eastAsia="仿宋_GB2312" w:cs="仿宋_GB2312"/>
          <w:kern w:val="2"/>
          <w:sz w:val="32"/>
          <w:szCs w:val="32"/>
          <w:lang w:val="en-US" w:eastAsia="zh-CN" w:bidi="ar-SA"/>
        </w:rPr>
        <w:t>、购置新车的类别、品牌、产品编码、购买人名称等。确保购买新车辆的发票金额与该笔订单交易的金额一致。</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color w:val="auto"/>
          <w:kern w:val="0"/>
          <w:sz w:val="32"/>
          <w:szCs w:val="32"/>
          <w:u w:val="none" w:color="auto"/>
          <w:lang w:val="en-US" w:eastAsia="zh-CN" w:bidi="ar"/>
        </w:rPr>
      </w:pPr>
      <w:r>
        <w:rPr>
          <w:rFonts w:hint="eastAsia" w:ascii="仿宋_GB2312" w:hAnsi="仿宋_GB2312" w:eastAsia="仿宋_GB2312" w:cs="仿宋_GB2312"/>
          <w:color w:val="auto"/>
          <w:kern w:val="0"/>
          <w:sz w:val="32"/>
          <w:szCs w:val="32"/>
          <w:u w:val="none" w:color="auto"/>
          <w:lang w:val="en-US" w:eastAsia="zh-CN" w:bidi="ar"/>
        </w:rPr>
        <w:t>及时</w:t>
      </w:r>
      <w:r>
        <w:rPr>
          <w:rFonts w:hint="eastAsia" w:ascii="仿宋_GB2312" w:hAnsi="仿宋_GB2312" w:eastAsia="仿宋_GB2312" w:cs="仿宋_GB2312"/>
          <w:color w:val="auto"/>
          <w:kern w:val="0"/>
          <w:sz w:val="32"/>
          <w:szCs w:val="32"/>
          <w:u w:val="none" w:color="auto"/>
          <w:lang w:val="en-US" w:eastAsia="zh-CN" w:bidi="ar"/>
        </w:rPr>
        <w:t>将回收的老旧电动自行车信息录入“电动自行车报废回收登记系统”并交由具有</w:t>
      </w:r>
      <w:r>
        <w:rPr>
          <w:rFonts w:hint="eastAsia" w:ascii="仿宋_GB2312" w:hAnsi="仿宋_GB2312" w:eastAsia="仿宋_GB2312" w:cs="仿宋_GB2312"/>
          <w:color w:val="auto"/>
          <w:kern w:val="0"/>
          <w:sz w:val="32"/>
          <w:szCs w:val="32"/>
          <w:u w:val="none" w:color="auto"/>
          <w:lang w:val="en-US" w:eastAsia="zh-CN" w:bidi="ar"/>
        </w:rPr>
        <w:t>回收拆解资质的</w:t>
      </w:r>
      <w:r>
        <w:rPr>
          <w:rFonts w:hint="eastAsia" w:ascii="仿宋_GB2312" w:hAnsi="仿宋_GB2312" w:eastAsia="仿宋_GB2312" w:cs="仿宋_GB2312"/>
          <w:color w:val="auto"/>
          <w:kern w:val="0"/>
          <w:sz w:val="32"/>
          <w:szCs w:val="32"/>
          <w:u w:val="none" w:color="auto"/>
          <w:lang w:val="en-US" w:eastAsia="zh-CN" w:bidi="ar"/>
        </w:rPr>
        <w:t>企业进行</w:t>
      </w:r>
      <w:r>
        <w:rPr>
          <w:rFonts w:hint="eastAsia" w:ascii="仿宋_GB2312" w:hAnsi="仿宋_GB2312" w:eastAsia="仿宋_GB2312" w:cs="仿宋_GB2312"/>
          <w:color w:val="auto"/>
          <w:kern w:val="0"/>
          <w:sz w:val="32"/>
          <w:szCs w:val="32"/>
          <w:u w:val="none" w:color="auto"/>
          <w:lang w:val="en-US" w:eastAsia="zh-CN" w:bidi="ar"/>
        </w:rPr>
        <w:t>处理。</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eastAsia="zh-CN"/>
        </w:rPr>
        <w:t>本单位承诺</w:t>
      </w:r>
      <w:r>
        <w:rPr>
          <w:rFonts w:hint="eastAsia" w:ascii="仿宋_GB2312" w:hAnsi="仿宋_GB2312" w:eastAsia="仿宋_GB2312" w:cs="仿宋_GB2312"/>
          <w:kern w:val="2"/>
          <w:sz w:val="32"/>
          <w:szCs w:val="32"/>
          <w:lang w:val="en-US" w:eastAsia="zh-CN" w:bidi="ar-SA"/>
        </w:rPr>
        <w:t>无</w:t>
      </w:r>
      <w:r>
        <w:rPr>
          <w:rFonts w:hint="eastAsia" w:ascii="仿宋_GB2312" w:hAnsi="仿宋_GB2312" w:eastAsia="仿宋_GB2312" w:cs="仿宋_GB2312"/>
          <w:sz w:val="32"/>
          <w:szCs w:val="32"/>
          <w:lang w:val="en-US" w:eastAsia="zh-CN"/>
        </w:rPr>
        <w:t>虚假宣传、虚假交易行</w:t>
      </w:r>
      <w:bookmarkStart w:id="0" w:name="_GoBack"/>
      <w:bookmarkEnd w:id="0"/>
      <w:r>
        <w:rPr>
          <w:rFonts w:hint="eastAsia" w:ascii="仿宋_GB2312" w:hAnsi="仿宋_GB2312" w:eastAsia="仿宋_GB2312" w:cs="仿宋_GB2312"/>
          <w:sz w:val="32"/>
          <w:szCs w:val="32"/>
          <w:lang w:val="en-US" w:eastAsia="zh-CN"/>
        </w:rPr>
        <w:t>为。上述行为</w:t>
      </w:r>
      <w:r>
        <w:rPr>
          <w:rFonts w:hint="eastAsia" w:ascii="仿宋_GB2312" w:hAnsi="仿宋_GB2312" w:eastAsia="仿宋_GB2312" w:cs="仿宋_GB2312"/>
          <w:sz w:val="32"/>
          <w:szCs w:val="32"/>
        </w:rPr>
        <w:t>一经发现，</w:t>
      </w:r>
      <w:r>
        <w:rPr>
          <w:rFonts w:hint="eastAsia" w:ascii="仿宋_GB2312" w:hAnsi="仿宋_GB2312" w:eastAsia="仿宋_GB2312" w:cs="仿宋_GB2312"/>
          <w:sz w:val="32"/>
          <w:szCs w:val="32"/>
          <w:lang w:eastAsia="zh-CN"/>
        </w:rPr>
        <w:t>主办方可</w:t>
      </w:r>
      <w:r>
        <w:rPr>
          <w:rFonts w:hint="eastAsia" w:ascii="仿宋_GB2312" w:hAnsi="仿宋_GB2312" w:eastAsia="仿宋_GB2312" w:cs="仿宋_GB2312"/>
          <w:sz w:val="32"/>
          <w:szCs w:val="32"/>
        </w:rPr>
        <w:t>立刻取消</w:t>
      </w:r>
      <w:r>
        <w:rPr>
          <w:rFonts w:hint="eastAsia" w:ascii="仿宋_GB2312" w:hAnsi="仿宋_GB2312" w:eastAsia="仿宋_GB2312" w:cs="仿宋_GB2312"/>
          <w:sz w:val="32"/>
          <w:szCs w:val="32"/>
          <w:lang w:eastAsia="zh-CN"/>
        </w:rPr>
        <w:t>企业</w:t>
      </w:r>
      <w:r>
        <w:rPr>
          <w:rFonts w:hint="eastAsia" w:ascii="仿宋_GB2312" w:hAnsi="仿宋_GB2312" w:eastAsia="仿宋_GB2312" w:cs="仿宋_GB2312"/>
          <w:sz w:val="32"/>
          <w:szCs w:val="32"/>
        </w:rPr>
        <w:t>活动参与资格</w:t>
      </w:r>
      <w:r>
        <w:rPr>
          <w:rFonts w:hint="eastAsia" w:ascii="仿宋_GB2312" w:hAnsi="仿宋_GB2312" w:eastAsia="仿宋_GB2312" w:cs="仿宋_GB2312"/>
          <w:sz w:val="32"/>
          <w:szCs w:val="32"/>
          <w:lang w:eastAsia="zh-CN"/>
        </w:rPr>
        <w:t>，并由企业承担</w:t>
      </w:r>
      <w:r>
        <w:rPr>
          <w:rFonts w:hint="eastAsia" w:ascii="仿宋_GB2312" w:hAnsi="仿宋_GB2312" w:eastAsia="仿宋_GB2312" w:cs="仿宋_GB2312"/>
          <w:sz w:val="32"/>
          <w:szCs w:val="32"/>
          <w:lang w:val="en-US" w:eastAsia="zh-CN"/>
        </w:rPr>
        <w:t>一切法律责任以及将企业列入失信名单。</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办理补贴手续时，认真核对车辆购买人有关信息，</w:t>
      </w:r>
      <w:r>
        <w:rPr>
          <w:rFonts w:hint="eastAsia" w:ascii="仿宋_GB2312" w:hAnsi="仿宋_GB2312" w:eastAsia="仿宋_GB2312" w:cs="仿宋_GB2312"/>
          <w:color w:val="auto"/>
          <w:kern w:val="0"/>
          <w:sz w:val="32"/>
          <w:szCs w:val="32"/>
          <w:u w:val="none" w:color="auto"/>
          <w:lang w:val="en-US" w:eastAsia="zh-CN" w:bidi="ar"/>
        </w:rPr>
        <w:t>协助购买人完成补贴申报材料的收集和提交工作</w:t>
      </w:r>
      <w:r>
        <w:rPr>
          <w:rFonts w:hint="eastAsia" w:ascii="仿宋_GB2312" w:hAnsi="仿宋_GB2312" w:eastAsia="仿宋_GB2312" w:cs="仿宋_GB2312"/>
          <w:kern w:val="2"/>
          <w:sz w:val="32"/>
          <w:szCs w:val="32"/>
          <w:lang w:val="en-US" w:eastAsia="zh-CN" w:bidi="ar-SA"/>
        </w:rPr>
        <w:t>，维护消费者合法权益。</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诚信经营，保证商品质量和服务质量，杜绝假冒伪劣、以次充好、以旧充新的产品进入市场流通。</w:t>
      </w:r>
      <w:r>
        <w:rPr>
          <w:rFonts w:hint="eastAsia" w:ascii="仿宋_GB2312" w:hAnsi="仿宋_GB2312" w:eastAsia="仿宋_GB2312" w:cs="仿宋_GB2312"/>
          <w:sz w:val="32"/>
          <w:szCs w:val="32"/>
        </w:rPr>
        <w:t>主动制止任何方式套取财政资金</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违反活动规则、恶意骗取</w:t>
      </w:r>
      <w:r>
        <w:rPr>
          <w:rFonts w:hint="eastAsia" w:ascii="仿宋_GB2312" w:hAnsi="仿宋_GB2312" w:eastAsia="仿宋_GB2312" w:cs="仿宋_GB2312"/>
          <w:sz w:val="32"/>
          <w:szCs w:val="32"/>
          <w:lang w:eastAsia="zh-CN"/>
        </w:rPr>
        <w:t>补贴</w:t>
      </w:r>
      <w:r>
        <w:rPr>
          <w:rFonts w:hint="eastAsia" w:ascii="仿宋_GB2312" w:hAnsi="仿宋_GB2312" w:eastAsia="仿宋_GB2312" w:cs="仿宋_GB2312"/>
          <w:sz w:val="32"/>
          <w:szCs w:val="32"/>
        </w:rPr>
        <w:t>的行为。</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按要求布放活动</w:t>
      </w:r>
      <w:r>
        <w:rPr>
          <w:rFonts w:hint="eastAsia" w:ascii="仿宋_GB2312" w:hAnsi="仿宋_GB2312" w:eastAsia="仿宋_GB2312" w:cs="仿宋_GB2312"/>
          <w:sz w:val="32"/>
          <w:szCs w:val="32"/>
          <w:lang w:val="en-US" w:eastAsia="zh-CN"/>
        </w:rPr>
        <w:t>宣传物料</w:t>
      </w:r>
      <w:r>
        <w:rPr>
          <w:rFonts w:hint="eastAsia" w:ascii="仿宋_GB2312" w:hAnsi="仿宋_GB2312" w:eastAsia="仿宋_GB2312" w:cs="仿宋_GB2312"/>
          <w:sz w:val="32"/>
          <w:szCs w:val="32"/>
        </w:rPr>
        <w:t>,须提供不少于1种宣传物料支持，如海报、收银台台卡等。</w:t>
      </w:r>
      <w:r>
        <w:rPr>
          <w:rFonts w:hint="eastAsia" w:ascii="仿宋_GB2312" w:hAnsi="仿宋_GB2312" w:eastAsia="仿宋_GB2312" w:cs="仿宋_GB2312"/>
          <w:sz w:val="32"/>
          <w:szCs w:val="32"/>
          <w:lang w:val="en-US" w:eastAsia="zh-CN"/>
        </w:rPr>
        <w:t>主办方</w:t>
      </w:r>
      <w:r>
        <w:rPr>
          <w:rFonts w:hint="eastAsia" w:ascii="仿宋_GB2312" w:hAnsi="仿宋_GB2312" w:eastAsia="仿宋_GB2312" w:cs="仿宋_GB2312"/>
          <w:sz w:val="32"/>
          <w:szCs w:val="32"/>
        </w:rPr>
        <w:t>有权在自有宣传渠道免费使用商户商标、标志、标识和店铺图片等用于本次活动宣传，自有宣传渠道不限于短信、微信、官网等。</w:t>
      </w: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rPr>
        <w:t>保证所提供的图片未侵犯他人的任何权利。</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保留相应的核销凭证资料，形成台账，将相应台账资料提交给活动主办或承办方，并在第三方审计时配合提供相关审计材料。做好清算工作，按规定退回不符合条件的补贴资金。</w:t>
      </w:r>
      <w:r>
        <w:rPr>
          <w:rFonts w:hint="default" w:ascii="仿宋_GB2312" w:hAnsi="仿宋_GB2312" w:eastAsia="仿宋_GB2312" w:cs="仿宋_GB2312"/>
          <w:b/>
          <w:bCs/>
          <w:kern w:val="2"/>
          <w:sz w:val="32"/>
          <w:szCs w:val="32"/>
          <w:lang w:val="en-US" w:eastAsia="zh-CN" w:bidi="ar-SA"/>
        </w:rPr>
        <w:t>提交的</w:t>
      </w:r>
      <w:r>
        <w:rPr>
          <w:rFonts w:hint="eastAsia" w:ascii="仿宋_GB2312" w:hAnsi="仿宋_GB2312" w:eastAsia="仿宋_GB2312" w:cs="仿宋_GB2312"/>
          <w:b/>
          <w:bCs/>
          <w:kern w:val="2"/>
          <w:sz w:val="32"/>
          <w:szCs w:val="32"/>
          <w:lang w:val="en-US" w:eastAsia="zh-CN" w:bidi="ar-SA"/>
        </w:rPr>
        <w:t>旧车回收证明、注销证明、新车发票、新车合格证、行驶证、购买人有效身份证</w:t>
      </w:r>
      <w:r>
        <w:rPr>
          <w:rFonts w:hint="default" w:ascii="仿宋_GB2312" w:hAnsi="仿宋_GB2312" w:eastAsia="仿宋_GB2312" w:cs="仿宋_GB2312"/>
          <w:b/>
          <w:bCs/>
          <w:kern w:val="2"/>
          <w:sz w:val="32"/>
          <w:szCs w:val="32"/>
          <w:lang w:val="en-US" w:eastAsia="zh-CN" w:bidi="ar-SA"/>
        </w:rPr>
        <w:t>均</w:t>
      </w:r>
      <w:r>
        <w:rPr>
          <w:rFonts w:hint="eastAsia" w:ascii="仿宋_GB2312" w:hAnsi="仿宋_GB2312" w:eastAsia="仿宋_GB2312" w:cs="仿宋_GB2312"/>
          <w:b/>
          <w:bCs/>
          <w:kern w:val="2"/>
          <w:sz w:val="32"/>
          <w:szCs w:val="32"/>
          <w:lang w:val="en-US" w:eastAsia="zh-CN" w:bidi="ar-SA"/>
        </w:rPr>
        <w:t>是属</w:t>
      </w:r>
      <w:r>
        <w:rPr>
          <w:rFonts w:hint="default" w:ascii="仿宋_GB2312" w:hAnsi="仿宋_GB2312" w:eastAsia="仿宋_GB2312" w:cs="仿宋_GB2312"/>
          <w:b/>
          <w:bCs/>
          <w:kern w:val="2"/>
          <w:sz w:val="32"/>
          <w:szCs w:val="32"/>
          <w:lang w:val="en-US" w:eastAsia="zh-CN" w:bidi="ar-SA"/>
        </w:rPr>
        <w:t>同一自然人</w:t>
      </w:r>
      <w:r>
        <w:rPr>
          <w:rFonts w:hint="eastAsia" w:ascii="仿宋_GB2312" w:hAnsi="仿宋_GB2312" w:eastAsia="仿宋_GB2312" w:cs="仿宋_GB2312"/>
          <w:b/>
          <w:bCs/>
          <w:kern w:val="2"/>
          <w:sz w:val="32"/>
          <w:szCs w:val="32"/>
          <w:lang w:val="en-US" w:eastAsia="zh-CN" w:bidi="ar-SA"/>
        </w:rPr>
        <w:t>所有。</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主办</w:t>
      </w:r>
      <w:r>
        <w:rPr>
          <w:rFonts w:hint="eastAsia" w:ascii="仿宋_GB2312" w:hAnsi="仿宋_GB2312" w:eastAsia="仿宋_GB2312" w:cs="仿宋_GB2312"/>
          <w:sz w:val="32"/>
          <w:szCs w:val="32"/>
          <w:lang w:val="en-US" w:eastAsia="zh-CN"/>
        </w:rPr>
        <w:t>方有权</w:t>
      </w:r>
      <w:r>
        <w:rPr>
          <w:rFonts w:hint="eastAsia" w:ascii="仿宋_GB2312" w:hAnsi="仿宋_GB2312" w:eastAsia="仿宋_GB2312" w:cs="仿宋_GB2312"/>
          <w:sz w:val="32"/>
          <w:szCs w:val="32"/>
        </w:rPr>
        <w:t>通过后台技术手段监测营销活动实施，如发现商</w:t>
      </w:r>
      <w:r>
        <w:rPr>
          <w:rFonts w:hint="eastAsia" w:ascii="仿宋_GB2312" w:hAnsi="仿宋_GB2312" w:eastAsia="仿宋_GB2312" w:cs="仿宋_GB2312"/>
          <w:sz w:val="32"/>
          <w:szCs w:val="32"/>
          <w:lang w:val="en-US" w:eastAsia="zh-CN"/>
        </w:rPr>
        <w:t>家存在</w:t>
      </w:r>
      <w:r>
        <w:rPr>
          <w:rFonts w:hint="eastAsia" w:ascii="仿宋_GB2312" w:hAnsi="仿宋_GB2312" w:eastAsia="仿宋_GB2312" w:cs="仿宋_GB2312"/>
          <w:kern w:val="2"/>
          <w:sz w:val="32"/>
          <w:szCs w:val="32"/>
          <w:lang w:val="en-US" w:eastAsia="zh-CN" w:bidi="ar-SA"/>
        </w:rPr>
        <w:t>作弊舞弊、利用不正</w:t>
      </w:r>
      <w:r>
        <w:rPr>
          <w:rFonts w:hint="eastAsia" w:ascii="仿宋_GB2312" w:hAnsi="仿宋_GB2312" w:eastAsia="仿宋_GB2312" w:cs="仿宋_GB2312"/>
          <w:sz w:val="32"/>
          <w:szCs w:val="32"/>
        </w:rPr>
        <w:t>当手段骗取套取补贴资金等违法违规行为，</w:t>
      </w:r>
      <w:r>
        <w:rPr>
          <w:rFonts w:hint="eastAsia" w:ascii="仿宋_GB2312" w:hAnsi="仿宋_GB2312" w:eastAsia="仿宋_GB2312" w:cs="仿宋_GB2312"/>
          <w:sz w:val="32"/>
          <w:szCs w:val="32"/>
          <w:lang w:eastAsia="zh-CN"/>
        </w:rPr>
        <w:t>主办方</w:t>
      </w:r>
      <w:r>
        <w:rPr>
          <w:rFonts w:hint="eastAsia" w:ascii="仿宋_GB2312" w:hAnsi="仿宋_GB2312" w:eastAsia="仿宋_GB2312" w:cs="仿宋_GB2312"/>
          <w:sz w:val="32"/>
          <w:szCs w:val="32"/>
        </w:rPr>
        <w:t>立即收回已发全部补贴资金，并取消企业和补贴对象参与后续活动的资格。具体判定依据和结果以</w:t>
      </w:r>
      <w:r>
        <w:rPr>
          <w:rFonts w:hint="eastAsia" w:ascii="仿宋_GB2312" w:hAnsi="仿宋_GB2312" w:eastAsia="仿宋_GB2312" w:cs="仿宋_GB2312"/>
          <w:sz w:val="32"/>
          <w:szCs w:val="32"/>
          <w:lang w:val="en-US" w:eastAsia="zh-CN"/>
        </w:rPr>
        <w:t>主办方</w:t>
      </w:r>
      <w:r>
        <w:rPr>
          <w:rFonts w:hint="eastAsia" w:ascii="仿宋_GB2312" w:hAnsi="仿宋_GB2312" w:eastAsia="仿宋_GB2312" w:cs="仿宋_GB2312"/>
          <w:sz w:val="32"/>
          <w:szCs w:val="32"/>
        </w:rPr>
        <w:t>认定为准。</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rPr>
        <w:t>提供的服务及产品问题引发的用户投诉、处理和争议等，应</w:t>
      </w:r>
      <w:r>
        <w:rPr>
          <w:rFonts w:hint="eastAsia" w:ascii="仿宋_GB2312" w:hAnsi="仿宋_GB2312" w:eastAsia="仿宋_GB2312" w:cs="仿宋_GB2312"/>
          <w:sz w:val="32"/>
          <w:szCs w:val="32"/>
          <w:lang w:val="en-US" w:eastAsia="zh-CN"/>
        </w:rPr>
        <w:t>由本单位自行</w:t>
      </w:r>
      <w:r>
        <w:rPr>
          <w:rFonts w:hint="eastAsia" w:ascii="仿宋_GB2312" w:hAnsi="仿宋_GB2312" w:eastAsia="仿宋_GB2312" w:cs="仿宋_GB2312"/>
          <w:sz w:val="32"/>
          <w:szCs w:val="32"/>
        </w:rPr>
        <w:t>负责解决，</w:t>
      </w:r>
      <w:r>
        <w:rPr>
          <w:rFonts w:hint="eastAsia" w:ascii="仿宋_GB2312" w:hAnsi="仿宋_GB2312" w:eastAsia="仿宋_GB2312" w:cs="仿宋_GB2312"/>
          <w:sz w:val="32"/>
          <w:szCs w:val="32"/>
          <w:lang w:val="en-US" w:eastAsia="zh-CN"/>
        </w:rPr>
        <w:t>主办方</w:t>
      </w:r>
      <w:r>
        <w:rPr>
          <w:rFonts w:hint="eastAsia" w:ascii="仿宋_GB2312" w:hAnsi="仿宋_GB2312" w:eastAsia="仿宋_GB2312" w:cs="仿宋_GB2312"/>
          <w:sz w:val="32"/>
          <w:szCs w:val="32"/>
        </w:rPr>
        <w:t>不承担任何责任。</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480" w:lineRule="exact"/>
        <w:ind w:left="0" w:leftChars="0"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color w:val="auto"/>
          <w:kern w:val="2"/>
          <w:sz w:val="32"/>
          <w:szCs w:val="32"/>
          <w:lang w:val="en-US" w:eastAsia="zh-CN" w:bidi="ar-SA"/>
        </w:rPr>
        <w:t>近三年来无严重违法违规行为；未发生重大产品质量案件、环保和生产安全事故，经济效益和社会效益良好。</w:t>
      </w:r>
    </w:p>
    <w:p>
      <w:pPr>
        <w:pStyle w:val="7"/>
        <w:keepNext w:val="0"/>
        <w:keepLines w:val="0"/>
        <w:pageBreakBefore w:val="0"/>
        <w:widowControl w:val="0"/>
        <w:kinsoku/>
        <w:overflowPunct/>
        <w:topLinePunct w:val="0"/>
        <w:autoSpaceDE/>
        <w:autoSpaceDN/>
        <w:bidi w:val="0"/>
        <w:adjustRightInd w:val="0"/>
        <w:snapToGrid w:val="0"/>
        <w:spacing w:line="540" w:lineRule="exact"/>
        <w:textAlignment w:val="auto"/>
        <w:rPr>
          <w:rFonts w:hint="eastAsia"/>
          <w:sz w:val="32"/>
          <w:szCs w:val="32"/>
        </w:rPr>
      </w:pPr>
    </w:p>
    <w:p>
      <w:pPr>
        <w:pStyle w:val="7"/>
        <w:keepNext w:val="0"/>
        <w:keepLines w:val="0"/>
        <w:pageBreakBefore w:val="0"/>
        <w:widowControl w:val="0"/>
        <w:kinsoku/>
        <w:overflowPunct/>
        <w:topLinePunct w:val="0"/>
        <w:autoSpaceDE/>
        <w:autoSpaceDN/>
        <w:bidi w:val="0"/>
        <w:adjustRightInd w:val="0"/>
        <w:snapToGrid w:val="0"/>
        <w:spacing w:line="540" w:lineRule="exact"/>
        <w:textAlignment w:val="auto"/>
        <w:rPr>
          <w:rFonts w:hint="eastAsia"/>
          <w:sz w:val="32"/>
          <w:szCs w:val="32"/>
        </w:rPr>
      </w:pPr>
    </w:p>
    <w:p>
      <w:pPr>
        <w:pStyle w:val="7"/>
        <w:keepNext w:val="0"/>
        <w:keepLines w:val="0"/>
        <w:pageBreakBefore w:val="0"/>
        <w:widowControl w:val="0"/>
        <w:kinsoku/>
        <w:overflowPunct/>
        <w:topLinePunct w:val="0"/>
        <w:autoSpaceDE/>
        <w:autoSpaceDN/>
        <w:bidi w:val="0"/>
        <w:adjustRightInd w:val="0"/>
        <w:snapToGrid w:val="0"/>
        <w:spacing w:line="540" w:lineRule="exact"/>
        <w:textAlignment w:val="auto"/>
        <w:rPr>
          <w:rFonts w:hint="eastAsia"/>
          <w:sz w:val="32"/>
          <w:szCs w:val="32"/>
        </w:rPr>
      </w:pPr>
    </w:p>
    <w:p>
      <w:pPr>
        <w:keepNext w:val="0"/>
        <w:keepLines w:val="0"/>
        <w:pageBreakBefore w:val="0"/>
        <w:widowControl w:val="0"/>
        <w:tabs>
          <w:tab w:val="left" w:pos="0"/>
          <w:tab w:val="left" w:pos="901"/>
        </w:tabs>
        <w:kinsoku/>
        <w:wordWrap w:val="0"/>
        <w:overflowPunct/>
        <w:topLinePunct w:val="0"/>
        <w:autoSpaceDE/>
        <w:autoSpaceDN/>
        <w:bidi w:val="0"/>
        <w:adjustRightInd w:val="0"/>
        <w:snapToGrid w:val="0"/>
        <w:spacing w:line="540" w:lineRule="exact"/>
        <w:ind w:right="-94" w:rightChars="0"/>
        <w:jc w:val="center"/>
        <w:textAlignment w:val="auto"/>
        <w:rPr>
          <w:rFonts w:hint="default" w:ascii="仿宋_GB2312" w:eastAsia="仿宋_GB2312"/>
          <w:sz w:val="32"/>
          <w:szCs w:val="32"/>
          <w:u w:val="single"/>
          <w:lang w:val="en-US" w:eastAsia="zh-CN"/>
        </w:rPr>
      </w:pPr>
      <w:r>
        <w:rPr>
          <w:rFonts w:hint="eastAsia" w:ascii="仿宋_GB2312" w:eastAsia="仿宋_GB2312"/>
          <w:sz w:val="32"/>
          <w:szCs w:val="32"/>
          <w:lang w:eastAsia="zh-CN"/>
        </w:rPr>
        <w:t>负责人（签字）：</w:t>
      </w:r>
      <w:r>
        <w:rPr>
          <w:rFonts w:hint="eastAsia" w:ascii="仿宋_GB2312" w:eastAsia="仿宋_GB2312"/>
          <w:sz w:val="32"/>
          <w:szCs w:val="32"/>
          <w:u w:val="single"/>
          <w:lang w:val="en-US" w:eastAsia="zh-CN"/>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单位名称（盖章）：</w:t>
      </w:r>
      <w:r>
        <w:rPr>
          <w:rFonts w:hint="eastAsia" w:ascii="仿宋_GB2312" w:eastAsia="仿宋_GB2312"/>
          <w:sz w:val="32"/>
          <w:szCs w:val="32"/>
          <w:u w:val="single"/>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40" w:lineRule="exact"/>
        <w:ind w:firstLine="640" w:firstLineChars="200"/>
        <w:jc w:val="right"/>
        <w:textAlignment w:val="auto"/>
        <w:outlineLvl w:val="1"/>
        <w:rPr>
          <w:rFonts w:hint="default" w:ascii="仿宋" w:hAnsi="仿宋" w:eastAsia="仿宋_GB2312" w:cs="仿宋"/>
          <w:sz w:val="32"/>
          <w:szCs w:val="32"/>
          <w:lang w:val="en-US" w:eastAsia="zh-CN"/>
        </w:rPr>
      </w:pPr>
      <w:r>
        <w:rPr>
          <w:rFonts w:ascii="仿宋_GB2312" w:eastAsia="仿宋_GB2312"/>
          <w:sz w:val="32"/>
          <w:szCs w:val="32"/>
        </w:rPr>
        <w:t>2</w:t>
      </w:r>
      <w:r>
        <w:rPr>
          <w:rFonts w:hint="eastAsia" w:ascii="仿宋_GB2312" w:eastAsia="仿宋_GB2312"/>
          <w:sz w:val="32"/>
          <w:szCs w:val="32"/>
        </w:rPr>
        <w:t>0</w:t>
      </w:r>
      <w:r>
        <w:rPr>
          <w:rFonts w:ascii="仿宋_GB2312" w:eastAsia="仿宋_GB2312"/>
          <w:sz w:val="32"/>
          <w:szCs w:val="32"/>
        </w:rPr>
        <w:t>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 xml:space="preserve">  </w:t>
      </w:r>
      <w:r>
        <w:rPr>
          <w:rFonts w:ascii="仿宋_GB2312" w:eastAsia="仿宋_GB2312"/>
          <w:sz w:val="32"/>
          <w:szCs w:val="32"/>
        </w:rPr>
        <w:t>月</w:t>
      </w:r>
      <w:r>
        <w:rPr>
          <w:rFonts w:hint="eastAsia" w:ascii="仿宋_GB2312" w:eastAsia="仿宋_GB2312"/>
          <w:sz w:val="32"/>
          <w:szCs w:val="32"/>
          <w:lang w:val="en-US" w:eastAsia="zh-CN"/>
        </w:rPr>
        <w:t xml:space="preserve">  </w:t>
      </w:r>
      <w:r>
        <w:rPr>
          <w:rFonts w:ascii="仿宋_GB2312" w:eastAsia="仿宋_GB2312"/>
          <w:sz w:val="32"/>
          <w:szCs w:val="32"/>
        </w:rPr>
        <w:t>日</w:t>
      </w:r>
      <w:r>
        <w:rPr>
          <w:rFonts w:hint="eastAsia" w:ascii="仿宋_GB2312" w:eastAsia="仿宋_GB2312"/>
          <w:sz w:val="32"/>
          <w:szCs w:val="32"/>
          <w:lang w:val="en-US" w:eastAsia="zh-CN"/>
        </w:rPr>
        <w:t xml:space="preserve">   </w:t>
      </w:r>
    </w:p>
    <w:sectPr>
      <w:footerReference r:id="rId3" w:type="default"/>
      <w:pgSz w:w="11906" w:h="16838"/>
      <w:pgMar w:top="1134" w:right="1800" w:bottom="1134"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modern"/>
    <w:pitch w:val="default"/>
    <w:sig w:usb0="E00002FF" w:usb1="6AC7FDFB" w:usb2="00000012" w:usb3="00000000" w:csb0="4002009F" w:csb1="DFD7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F87DB"/>
    <w:multiLevelType w:val="singleLevel"/>
    <w:tmpl w:val="81DF87DB"/>
    <w:lvl w:ilvl="0" w:tentative="0">
      <w:start w:val="1"/>
      <w:numFmt w:val="decimal"/>
      <w:lvlText w:val="%1."/>
      <w:lvlJc w:val="left"/>
      <w:pPr>
        <w:tabs>
          <w:tab w:val="left" w:pos="-420"/>
        </w:tabs>
        <w:ind w:left="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2YjEzZTMwMGE1MDVkODAyMGMwMzVhNjQ4MGI0NDIifQ=="/>
  </w:docVars>
  <w:rsids>
    <w:rsidRoot w:val="00000000"/>
    <w:rsid w:val="001E3F7D"/>
    <w:rsid w:val="02197705"/>
    <w:rsid w:val="026816D8"/>
    <w:rsid w:val="0496572F"/>
    <w:rsid w:val="09AC0D49"/>
    <w:rsid w:val="0A1F1409"/>
    <w:rsid w:val="0C0E0CBE"/>
    <w:rsid w:val="0DBB5E43"/>
    <w:rsid w:val="0EE043C6"/>
    <w:rsid w:val="0F777C7D"/>
    <w:rsid w:val="0F906608"/>
    <w:rsid w:val="104A681B"/>
    <w:rsid w:val="11ED239C"/>
    <w:rsid w:val="12A45609"/>
    <w:rsid w:val="12E6749B"/>
    <w:rsid w:val="151C63E2"/>
    <w:rsid w:val="15827C38"/>
    <w:rsid w:val="15C3215F"/>
    <w:rsid w:val="17C5333F"/>
    <w:rsid w:val="187F0041"/>
    <w:rsid w:val="187F3C7F"/>
    <w:rsid w:val="1A6441AA"/>
    <w:rsid w:val="1B8C327F"/>
    <w:rsid w:val="1E04662C"/>
    <w:rsid w:val="21223683"/>
    <w:rsid w:val="21761CCD"/>
    <w:rsid w:val="23491035"/>
    <w:rsid w:val="23B57041"/>
    <w:rsid w:val="23CC5C90"/>
    <w:rsid w:val="24025B12"/>
    <w:rsid w:val="243A0633"/>
    <w:rsid w:val="274727EA"/>
    <w:rsid w:val="2747537D"/>
    <w:rsid w:val="27980209"/>
    <w:rsid w:val="29727202"/>
    <w:rsid w:val="2AB80953"/>
    <w:rsid w:val="2EE851C8"/>
    <w:rsid w:val="2EF11C18"/>
    <w:rsid w:val="300D0B73"/>
    <w:rsid w:val="311C09AF"/>
    <w:rsid w:val="31B47F8E"/>
    <w:rsid w:val="31BA6EE9"/>
    <w:rsid w:val="3223545B"/>
    <w:rsid w:val="32F707EF"/>
    <w:rsid w:val="360621D2"/>
    <w:rsid w:val="398268AC"/>
    <w:rsid w:val="39CC130A"/>
    <w:rsid w:val="3B44693D"/>
    <w:rsid w:val="3E49744D"/>
    <w:rsid w:val="3FC14A03"/>
    <w:rsid w:val="40E1210B"/>
    <w:rsid w:val="417B20F4"/>
    <w:rsid w:val="457F3FAD"/>
    <w:rsid w:val="47362160"/>
    <w:rsid w:val="48DE2FCB"/>
    <w:rsid w:val="48EF268F"/>
    <w:rsid w:val="4BE5482F"/>
    <w:rsid w:val="4C77577F"/>
    <w:rsid w:val="4E317BB1"/>
    <w:rsid w:val="4EA529C9"/>
    <w:rsid w:val="4EC1325E"/>
    <w:rsid w:val="4F285BC9"/>
    <w:rsid w:val="51992D0B"/>
    <w:rsid w:val="51A56F24"/>
    <w:rsid w:val="52224269"/>
    <w:rsid w:val="52D37268"/>
    <w:rsid w:val="55D20D32"/>
    <w:rsid w:val="56CF5DCB"/>
    <w:rsid w:val="57084BBB"/>
    <w:rsid w:val="58C815AD"/>
    <w:rsid w:val="5C3E620B"/>
    <w:rsid w:val="5CE12792"/>
    <w:rsid w:val="5D2B5D22"/>
    <w:rsid w:val="5DBB0BAD"/>
    <w:rsid w:val="60160CC0"/>
    <w:rsid w:val="60510ACD"/>
    <w:rsid w:val="606D500C"/>
    <w:rsid w:val="610C6D6B"/>
    <w:rsid w:val="613A3B45"/>
    <w:rsid w:val="61C4718C"/>
    <w:rsid w:val="6238413F"/>
    <w:rsid w:val="67CE2B39"/>
    <w:rsid w:val="68D15E6D"/>
    <w:rsid w:val="6A51087F"/>
    <w:rsid w:val="6B3D276A"/>
    <w:rsid w:val="6C773F17"/>
    <w:rsid w:val="6CC67200"/>
    <w:rsid w:val="6CE80304"/>
    <w:rsid w:val="6D30394E"/>
    <w:rsid w:val="6DAD6F7E"/>
    <w:rsid w:val="6F105061"/>
    <w:rsid w:val="71011E4E"/>
    <w:rsid w:val="74DC2928"/>
    <w:rsid w:val="77DA2E34"/>
    <w:rsid w:val="78944338"/>
    <w:rsid w:val="79A66864"/>
    <w:rsid w:val="7A805AF8"/>
    <w:rsid w:val="7B79074A"/>
    <w:rsid w:val="7E420FFC"/>
    <w:rsid w:val="BDE7B8E5"/>
    <w:rsid w:val="BFFB0851"/>
    <w:rsid w:val="F7BEF67E"/>
    <w:rsid w:val="FD8FA6B9"/>
    <w:rsid w:val="FE7A68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MS Gothic" w:cs="Times New Roman"/>
      <w:kern w:val="2"/>
      <w:sz w:val="21"/>
      <w:szCs w:val="21"/>
      <w:lang w:val="en-US" w:eastAsia="zh-CN" w:bidi="ar-SA"/>
    </w:rPr>
  </w:style>
  <w:style w:type="paragraph" w:styleId="3">
    <w:name w:val="heading 1"/>
    <w:basedOn w:val="4"/>
    <w:next w:val="5"/>
    <w:qFormat/>
    <w:uiPriority w:val="9"/>
    <w:pPr>
      <w:keepNext w:val="0"/>
      <w:keepLines w:val="0"/>
      <w:spacing w:beforeLines="0" w:beforeAutospacing="0" w:afterLines="0" w:afterAutospacing="0" w:line="570" w:lineRule="exact"/>
      <w:ind w:firstLine="0" w:firstLineChars="0"/>
      <w:outlineLvl w:val="0"/>
    </w:pPr>
    <w:rPr>
      <w:rFonts w:ascii="方正小标宋简体" w:hAnsi="方正小标宋简体" w:eastAsia="方正小标宋_GBK" w:cs="方正大标宋简体"/>
      <w:b w:val="0"/>
      <w:snapToGrid w:val="0"/>
      <w:kern w:val="44"/>
      <w:sz w:val="44"/>
      <w:szCs w:val="44"/>
    </w:rPr>
  </w:style>
  <w:style w:type="paragraph" w:styleId="5">
    <w:name w:val="heading 3"/>
    <w:basedOn w:val="1"/>
    <w:next w:val="1"/>
    <w:semiHidden/>
    <w:unhideWhenUsed/>
    <w:qFormat/>
    <w:uiPriority w:val="9"/>
    <w:pPr>
      <w:keepNext/>
      <w:keepLines/>
      <w:spacing w:beforeAutospacing="1" w:after="75" w:afterAutospacing="1" w:line="570" w:lineRule="exact"/>
      <w:ind w:firstLine="880" w:firstLineChars="200"/>
      <w:jc w:val="both"/>
      <w:outlineLvl w:val="2"/>
    </w:pPr>
    <w:rPr>
      <w:rFonts w:hint="eastAsia" w:ascii="宋体" w:hAnsi="宋体" w:eastAsia="方正楷体_GBK" w:cs="Times New Roman"/>
      <w:kern w:val="0"/>
      <w:sz w:val="32"/>
      <w:szCs w:val="27"/>
    </w:rPr>
  </w:style>
  <w:style w:type="paragraph" w:styleId="6">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toc 2"/>
    <w:basedOn w:val="1"/>
    <w:next w:val="1"/>
    <w:unhideWhenUsed/>
    <w:qFormat/>
    <w:uiPriority w:val="0"/>
    <w:pPr>
      <w:spacing w:beforeLines="0" w:afterLines="0"/>
      <w:ind w:left="420" w:leftChars="200"/>
    </w:pPr>
    <w:rPr>
      <w:rFonts w:hint="eastAsia"/>
      <w:sz w:val="30"/>
    </w:rPr>
  </w:style>
  <w:style w:type="paragraph" w:styleId="4">
    <w:name w:val="Title"/>
    <w:basedOn w:val="1"/>
    <w:qFormat/>
    <w:uiPriority w:val="10"/>
    <w:pPr>
      <w:spacing w:before="240" w:beforeLines="0" w:beforeAutospacing="0" w:after="60" w:afterLines="0" w:afterAutospacing="0"/>
      <w:jc w:val="center"/>
      <w:outlineLvl w:val="0"/>
    </w:pPr>
    <w:rPr>
      <w:rFonts w:ascii="Arial" w:hAnsi="Arial"/>
      <w:b/>
      <w:sz w:val="32"/>
    </w:rPr>
  </w:style>
  <w:style w:type="paragraph" w:styleId="7">
    <w:name w:val="Normal Indent"/>
    <w:basedOn w:val="1"/>
    <w:qFormat/>
    <w:uiPriority w:val="0"/>
    <w:pPr>
      <w:ind w:firstLine="420"/>
    </w:pPr>
  </w:style>
  <w:style w:type="paragraph" w:styleId="8">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3">
    <w:name w:val="Hyperlink"/>
    <w:basedOn w:val="12"/>
    <w:semiHidden/>
    <w:unhideWhenUsed/>
    <w:qFormat/>
    <w:uiPriority w:val="99"/>
    <w:rPr>
      <w:color w:val="0000FF"/>
      <w:u w:val="single"/>
    </w:rPr>
  </w:style>
  <w:style w:type="character" w:customStyle="1" w:styleId="14">
    <w:name w:val="页眉 字符"/>
    <w:basedOn w:val="12"/>
    <w:link w:val="9"/>
    <w:qFormat/>
    <w:uiPriority w:val="99"/>
    <w:rPr>
      <w:sz w:val="18"/>
      <w:szCs w:val="18"/>
    </w:rPr>
  </w:style>
  <w:style w:type="character" w:customStyle="1" w:styleId="15">
    <w:name w:val="页脚 字符"/>
    <w:basedOn w:val="12"/>
    <w:link w:val="8"/>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1034</Words>
  <Characters>1051</Characters>
  <Lines>5</Lines>
  <Paragraphs>1</Paragraphs>
  <TotalTime>7</TotalTime>
  <ScaleCrop>false</ScaleCrop>
  <LinksUpToDate>false</LinksUpToDate>
  <CharactersWithSpaces>1069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2022-01-19T11:03:00Z</dcterms:created>
  <dc:creator>霍立维</dc:creator>
  <cp:lastModifiedBy>MGK</cp:lastModifiedBy>
  <cp:lastPrinted>2022-09-29T04:01:00Z</cp:lastPrinted>
  <dcterms:modified xsi:type="dcterms:W3CDTF">2024-10-08T02:16:37Z</dcterms:modified>
  <dc:title>“佛山·乐购家电”惠民消费月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A2FA0B14B3DE421F855D6158ECCA9144_13</vt:lpwstr>
  </property>
</Properties>
</file>