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both"/>
        <w:rPr>
          <w:rFonts w:hint="eastAsia" w:ascii="方正小标宋_GBK" w:hAnsi="Times New Roman" w:eastAsia="方正小标宋_GBK" w:cs="Times New Roman"/>
          <w:sz w:val="52"/>
          <w:szCs w:val="52"/>
          <w:lang w:val="en-US" w:eastAsia="zh-CN"/>
        </w:rPr>
      </w:pPr>
    </w:p>
    <w:p>
      <w:pPr>
        <w:adjustRightInd w:val="0"/>
        <w:snapToGrid w:val="0"/>
        <w:spacing w:line="240" w:lineRule="auto"/>
        <w:ind w:firstLine="0" w:firstLineChars="0"/>
        <w:jc w:val="center"/>
        <w:rPr>
          <w:rFonts w:hint="eastAsia"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lang w:val="en-US" w:eastAsia="zh-CN"/>
        </w:rPr>
        <w:t>潮安区招商引资工作经费</w:t>
      </w:r>
      <w:r>
        <w:rPr>
          <w:rFonts w:hint="eastAsia" w:ascii="方正小标宋_GBK" w:hAnsi="Times New Roman" w:eastAsia="方正小标宋_GBK" w:cs="Times New Roman"/>
          <w:sz w:val="52"/>
          <w:szCs w:val="52"/>
        </w:rPr>
        <w:t>资金</w:t>
      </w:r>
    </w:p>
    <w:p>
      <w:pPr>
        <w:adjustRightInd w:val="0"/>
        <w:snapToGrid w:val="0"/>
        <w:spacing w:line="240" w:lineRule="auto"/>
        <w:ind w:firstLine="0" w:firstLineChars="0"/>
        <w:jc w:val="center"/>
        <w:rPr>
          <w:rFonts w:hint="eastAsia"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绩效评价报告</w:t>
      </w:r>
    </w:p>
    <w:p>
      <w:pPr>
        <w:adjustRightInd w:val="0"/>
        <w:snapToGrid w:val="0"/>
        <w:spacing w:line="240" w:lineRule="auto"/>
        <w:ind w:firstLine="0" w:firstLineChars="0"/>
        <w:jc w:val="center"/>
        <w:rPr>
          <w:rFonts w:hint="eastAsia" w:ascii="方正小标宋_GBK" w:hAnsi="Times New Roman" w:eastAsia="方正小标宋_GBK" w:cs="Times New Roman"/>
          <w:sz w:val="52"/>
          <w:szCs w:val="52"/>
          <w:lang w:eastAsia="zh-CN"/>
        </w:rPr>
      </w:pPr>
    </w:p>
    <w:p>
      <w:pPr>
        <w:ind w:firstLine="0" w:firstLineChars="0"/>
        <w:jc w:val="center"/>
        <w:rPr>
          <w:rFonts w:hAnsi="Times New Roman" w:cs="Times New Roman"/>
          <w:sz w:val="44"/>
          <w:szCs w:val="44"/>
        </w:rPr>
      </w:pPr>
    </w:p>
    <w:p>
      <w:pPr>
        <w:ind w:firstLine="0" w:firstLineChars="0"/>
        <w:jc w:val="center"/>
        <w:rPr>
          <w:rFonts w:hAnsi="Times New Roman" w:cs="Times New Roman"/>
          <w:sz w:val="44"/>
          <w:szCs w:val="44"/>
        </w:rPr>
      </w:pPr>
    </w:p>
    <w:p>
      <w:pPr>
        <w:widowControl/>
        <w:ind w:firstLine="0" w:firstLineChars="0"/>
        <w:jc w:val="center"/>
        <w:rPr>
          <w:rFonts w:hAnsi="Times New Roman" w:cs="Times New Roman"/>
          <w:kern w:val="0"/>
          <w:szCs w:val="32"/>
        </w:rPr>
      </w:pPr>
    </w:p>
    <w:p>
      <w:pPr>
        <w:widowControl/>
        <w:ind w:firstLine="0" w:firstLineChars="0"/>
        <w:jc w:val="center"/>
        <w:rPr>
          <w:rFonts w:hAnsi="Times New Roman" w:cs="Times New Roman"/>
          <w:kern w:val="0"/>
          <w:szCs w:val="32"/>
        </w:rPr>
      </w:pPr>
    </w:p>
    <w:p>
      <w:pPr>
        <w:widowControl/>
        <w:ind w:firstLine="0" w:firstLineChars="0"/>
        <w:jc w:val="center"/>
        <w:rPr>
          <w:rFonts w:hAnsi="Times New Roman" w:cs="Times New Roman"/>
          <w:kern w:val="0"/>
          <w:szCs w:val="32"/>
        </w:rPr>
      </w:pPr>
    </w:p>
    <w:p>
      <w:pPr>
        <w:ind w:firstLine="0" w:firstLineChars="0"/>
        <w:jc w:val="left"/>
        <w:rPr>
          <w:rFonts w:hAnsi="Times New Roman" w:cs="Times New Roman"/>
          <w:sz w:val="44"/>
          <w:szCs w:val="44"/>
        </w:rPr>
      </w:pPr>
    </w:p>
    <w:p>
      <w:pPr>
        <w:ind w:left="2560" w:leftChars="300" w:hanging="1600" w:hangingChars="500"/>
        <w:jc w:val="left"/>
        <w:rPr>
          <w:rFonts w:hAnsi="Times New Roman" w:cs="Times New Roman"/>
          <w:szCs w:val="32"/>
        </w:rPr>
      </w:pPr>
    </w:p>
    <w:p>
      <w:pPr>
        <w:jc w:val="left"/>
        <w:rPr>
          <w:rFonts w:hAnsi="Times New Roman" w:cs="Times New Roman"/>
          <w:szCs w:val="32"/>
        </w:rPr>
      </w:pPr>
    </w:p>
    <w:p>
      <w:pPr>
        <w:pStyle w:val="12"/>
        <w:jc w:val="both"/>
        <w:rPr>
          <w:rFonts w:hAnsi="Times New Roman" w:eastAsia="仿宋_GB2312"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cols w:space="425" w:num="1"/>
          <w:docGrid w:type="lines" w:linePitch="435" w:charSpace="0"/>
        </w:sectPr>
      </w:pPr>
    </w:p>
    <w:p>
      <w:pPr>
        <w:pStyle w:val="12"/>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hAnsi="Times New Roman" w:cs="Times New Roman"/>
          <w:sz w:val="32"/>
          <w:szCs w:val="32"/>
          <w:lang w:val="en-US" w:eastAsia="zh-CN"/>
        </w:rPr>
      </w:pPr>
      <w:r>
        <w:rPr>
          <w:rFonts w:hint="eastAsia" w:hAnsi="Times New Roman" w:cs="Times New Roman"/>
          <w:sz w:val="32"/>
          <w:szCs w:val="32"/>
          <w:lang w:val="en-US" w:eastAsia="zh-CN"/>
        </w:rPr>
        <w:t>评价项目概要</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ascii="仿宋_GB2312" w:hAnsi="仿宋_GB2312" w:eastAsia="仿宋_GB2312" w:cs="仿宋_GB2312"/>
          <w:lang w:val="en-US" w:eastAsia="zh-CN"/>
        </w:rPr>
        <w:t>2023年，为深入贯彻落实党的二十大精神和习近平总书记对广东系列重要讲话、重要指示精神，按照省委、省政府关于抓好招商引资的工作部署，进一步强化招商引资，优化投资环境，扩大有效投资，助推我省经济高质量发展，广东省人民政府办公厅印发《广东省推进招商引资高质量发展若干政策措施》，</w:t>
      </w:r>
      <w:r>
        <w:rPr>
          <w:rFonts w:hint="eastAsia" w:cs="仿宋_GB2312"/>
          <w:lang w:val="en-US" w:eastAsia="zh-CN"/>
        </w:rPr>
        <w:t>要求各地、各有关部门要把招商引资作为“一把手”工程，主要负责同志要亲自抓招商，研究部署推动招商引资工作，要组织带队招商、参与重大项目洽谈、推动项目落地。同时要求各地、各有关部门要强化招商服务意识，加强招商引资宣传，形成良好的全社会招商氛围和工作局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lang w:val="en-US" w:eastAsia="zh-CN"/>
        </w:rPr>
      </w:pPr>
      <w:r>
        <w:rPr>
          <w:rFonts w:hint="eastAsia" w:cs="仿宋_GB2312"/>
          <w:lang w:val="en-US" w:eastAsia="zh-CN"/>
        </w:rPr>
        <w:t>潮州市人民政府办公室印发《2023年潮州市招商引资工作方案》，分解至我区85亿元投资额、4亿元纳税目标、60个项目数的招商引资目标任务，根据区委、区政府有关工作部署，由区工科局牵头有关部门按照文件要求认真抓好招商引资相关工作的落实。按照“大招商、招大商、招好商”的工作要求，区政府印发《2023年潮州市潮安区招商引资工作方案》，并组建4只区级招商先锋队。为推动我区招商引资工作顺利开展，区工科局2023年度共申请80万元用于招商引资宣传工作、招商先锋队工作经费等。</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项目总体绩效目标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2023年区工科局招商引资工作经费项目资金分成5次下达，经与区工科局沟通确认，评价组将绩效目标整理为：组建4支招商先锋队，支持招商先锋队本年度外出招商不低于4次，引进内外资产业项目不少于61个，印刷宣传物料不少于2000册，力争2023年年底前引进投资金额86亿元以上，进一步提升“大招商”工作格局，推动招商引资工作提质、提速、提效、提标，加快推动我区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2.绩效指标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根据区工科局提供的绩效目标表，项目设置了5个绩效指标，其中包含4个产出指标，1个效益指标，具体指标如下：</w:t>
      </w:r>
    </w:p>
    <w:p>
      <w:pPr>
        <w:pStyle w:val="5"/>
        <w:rPr>
          <w:rFonts w:hint="eastAsia" w:eastAsia="宋体"/>
          <w:lang w:eastAsia="zh-CN"/>
        </w:rPr>
      </w:pPr>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项目绩效指标设置情况表</w:t>
      </w:r>
    </w:p>
    <w:tbl>
      <w:tblPr>
        <w:tblStyle w:val="1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862"/>
        <w:gridCol w:w="3482"/>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一级指标</w:t>
            </w:r>
          </w:p>
        </w:tc>
        <w:tc>
          <w:tcPr>
            <w:tcW w:w="18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二级指标</w:t>
            </w: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三级指标</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产出指标</w:t>
            </w:r>
          </w:p>
        </w:tc>
        <w:tc>
          <w:tcPr>
            <w:tcW w:w="1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数量指标</w:t>
            </w: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外出招商次数</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cs="仿宋_GB2312"/>
                <w:sz w:val="24"/>
                <w:szCs w:val="24"/>
                <w:vertAlign w:val="baseline"/>
                <w:lang w:val="en-US" w:eastAsia="zh-CN"/>
              </w:rPr>
            </w:pPr>
          </w:p>
        </w:tc>
        <w:tc>
          <w:tcPr>
            <w:tcW w:w="1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cs="仿宋_GB2312"/>
                <w:sz w:val="24"/>
                <w:szCs w:val="24"/>
                <w:vertAlign w:val="baseline"/>
                <w:lang w:val="en-US" w:eastAsia="zh-CN"/>
              </w:rPr>
            </w:pP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印刷宣传物料数量</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cs="仿宋_GB2312"/>
                <w:sz w:val="24"/>
                <w:szCs w:val="24"/>
                <w:vertAlign w:val="baseline"/>
                <w:lang w:val="en-US" w:eastAsia="zh-CN"/>
              </w:rPr>
            </w:pPr>
          </w:p>
        </w:tc>
        <w:tc>
          <w:tcPr>
            <w:tcW w:w="1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质量指标</w:t>
            </w: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资金使用合规性（%）</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cs="仿宋_GB2312"/>
                <w:sz w:val="24"/>
                <w:szCs w:val="24"/>
                <w:vertAlign w:val="baseline"/>
                <w:lang w:val="en-US" w:eastAsia="zh-CN"/>
              </w:rPr>
            </w:pPr>
          </w:p>
        </w:tc>
        <w:tc>
          <w:tcPr>
            <w:tcW w:w="1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宣传推介效果</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效益指标</w:t>
            </w:r>
          </w:p>
        </w:tc>
        <w:tc>
          <w:tcPr>
            <w:tcW w:w="18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经济效益指标</w:t>
            </w:r>
          </w:p>
        </w:tc>
        <w:tc>
          <w:tcPr>
            <w:tcW w:w="3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促进经济发展</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4"/>
                <w:vertAlign w:val="baseline"/>
                <w:lang w:val="en-US" w:eastAsia="zh-CN"/>
              </w:rPr>
            </w:pPr>
            <w:r>
              <w:rPr>
                <w:rFonts w:hint="eastAsia" w:cs="仿宋_GB2312"/>
                <w:sz w:val="24"/>
                <w:szCs w:val="24"/>
                <w:vertAlign w:val="baseline"/>
                <w:lang w:val="en-US" w:eastAsia="zh-CN"/>
              </w:rPr>
              <w:t>促进经济发展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项目原设置的绩效指标较少不够全面，且可衡量性低，经与区工科局沟通确认，评价组对本项目产出和效益指标进行重新梳理，结合年度工作方案等资料对项目指标进行细化和量化，优化本项目产出、效益评价指标设置，共细化设置了13个绩效指标，包括9个产出、4个效益指标，梳理后的具体绩效指标设定见下表：</w:t>
      </w:r>
    </w:p>
    <w:p>
      <w:pPr>
        <w:pStyle w:val="5"/>
        <w:rPr>
          <w:rFonts w:hint="eastAsia" w:eastAsia="宋体"/>
          <w:lang w:eastAsia="zh-CN"/>
        </w:rPr>
      </w:pPr>
      <w:r>
        <w:t xml:space="preserve">表 </w:t>
      </w:r>
      <w:r>
        <w:fldChar w:fldCharType="begin"/>
      </w:r>
      <w:r>
        <w:instrText xml:space="preserve"> SEQ 表 \* ARABIC </w:instrText>
      </w:r>
      <w:r>
        <w:fldChar w:fldCharType="separate"/>
      </w:r>
      <w:r>
        <w:t>2</w:t>
      </w:r>
      <w:r>
        <w:fldChar w:fldCharType="end"/>
      </w:r>
      <w:r>
        <w:rPr>
          <w:rFonts w:hint="eastAsia"/>
          <w:lang w:val="en-US" w:eastAsia="zh-CN"/>
        </w:rPr>
        <w:t>评价组梳理后的</w:t>
      </w:r>
      <w:r>
        <w:rPr>
          <w:rFonts w:hint="eastAsia"/>
          <w:lang w:eastAsia="zh-CN"/>
        </w:rPr>
        <w:t>绩效指标表</w:t>
      </w:r>
    </w:p>
    <w:tbl>
      <w:tblPr>
        <w:tblStyle w:val="1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07"/>
        <w:gridCol w:w="385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A4A4A4" w:themeFill="background1" w:themeFillShade="A5"/>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cs="仿宋_GB2312"/>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1707" w:type="dxa"/>
            <w:shd w:val="clear" w:color="auto" w:fill="A4A4A4" w:themeFill="background1" w:themeFillShade="A5"/>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cs="仿宋_GB2312"/>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3856" w:type="dxa"/>
            <w:shd w:val="clear" w:color="auto" w:fill="A4A4A4" w:themeFill="background1" w:themeFillShade="A5"/>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cs="仿宋_GB2312"/>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2294" w:type="dxa"/>
            <w:shd w:val="clear" w:color="auto" w:fill="A4A4A4" w:themeFill="background1" w:themeFillShade="A5"/>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cs="仿宋_GB2312"/>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产出指标</w:t>
            </w:r>
          </w:p>
        </w:tc>
        <w:tc>
          <w:tcPr>
            <w:tcW w:w="17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数量指标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外出招商次数（次）</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印刷宣传物料数量（册）</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组建招商先锋队伍数（支）</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质量指标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落实考核制度（是/否）</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成本指标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不超预算（是/否）</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驻点居住用房费用控制</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w:t>
            </w:r>
            <w:r>
              <w:rPr>
                <w:rFonts w:hint="default" w:cs="仿宋_GB2312"/>
                <w:sz w:val="24"/>
                <w:szCs w:val="20"/>
                <w:vertAlign w:val="baseline"/>
                <w:lang w:val="en-US" w:eastAsia="zh-CN"/>
              </w:rPr>
              <w:t>1.5万元/月/队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开办一次性经费控制</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w:t>
            </w:r>
            <w:r>
              <w:rPr>
                <w:rFonts w:hint="default" w:cs="仿宋_GB2312"/>
                <w:sz w:val="24"/>
                <w:szCs w:val="20"/>
                <w:vertAlign w:val="baseline"/>
                <w:lang w:val="en-US" w:eastAsia="zh-CN"/>
              </w:rPr>
              <w:t>8000元/队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日常经费控制</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≤400元/月/队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时效指标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完成目标时间</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效益指标</w:t>
            </w:r>
          </w:p>
        </w:tc>
        <w:tc>
          <w:tcPr>
            <w:tcW w:w="17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经济效益指标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引进内外资产业项目数（个）</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引进投资金额（亿元）</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满意度指标</w:t>
            </w: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签约项目全市排名</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全市第一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1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17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p>
        </w:tc>
        <w:tc>
          <w:tcPr>
            <w:tcW w:w="3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default" w:cs="仿宋_GB2312"/>
                <w:sz w:val="24"/>
                <w:szCs w:val="20"/>
                <w:vertAlign w:val="baseline"/>
                <w:lang w:val="en-US" w:eastAsia="zh-CN"/>
              </w:rPr>
              <w:t>投资额全市排名</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sz w:val="24"/>
                <w:szCs w:val="20"/>
                <w:vertAlign w:val="baseline"/>
                <w:lang w:val="en-US" w:eastAsia="zh-CN"/>
              </w:rPr>
            </w:pPr>
            <w:r>
              <w:rPr>
                <w:rFonts w:hint="eastAsia" w:cs="仿宋_GB2312"/>
                <w:sz w:val="24"/>
                <w:szCs w:val="20"/>
                <w:vertAlign w:val="baseline"/>
                <w:lang w:val="en-US" w:eastAsia="zh-CN"/>
              </w:rPr>
              <w:t>全市第一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cs="仿宋_GB231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评价金额及支出情况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2023年，区财政安排区工科局招商引资工作经费项目资金共80万元，其中年初安排6万元，年中追加74万元。截止2023年12月31日，项目实际下达资金合计79.4万元，资金拨付到位率99.25%，实际支出79.4万元，支出率100%。</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评价结论与绩效分析</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总体结论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根据既定绩效评价指标体系，通过分析项目单位提供的相关资料、调查访谈、现场核实，对潮安区招商引资工作经费项目的决策、过程、产出和效益进行综合分析，评价认为：区工科局充分发挥了招商引资专项资金的经济效应，2023年积极开展多次外出招商活动，超额完成市下达我区任务数，共落地项目213个、投资额125亿元，有力推进潮安区高质量发展。但也存在绩效目标指向不精确，过程监督管理不完善的问题。本项目总体绩效得分85.75分，评价等级为“良”。</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cs="仿宋_GB2312"/>
          <w:lang w:val="en-US" w:eastAsia="zh-CN"/>
        </w:rPr>
      </w:pPr>
      <w:r>
        <w:rPr>
          <w:rFonts w:hint="eastAsia" w:ascii="楷体" w:hAnsi="楷体" w:eastAsia="楷体" w:cs="楷体"/>
          <w:lang w:val="en-US" w:eastAsia="zh-CN"/>
        </w:rPr>
        <w:t>各部分绩效分析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pPr>
      <w:r>
        <w:rPr>
          <w:rFonts w:hint="eastAsia" w:cs="仿宋_GB2312"/>
          <w:lang w:val="en-US" w:eastAsia="zh-CN"/>
        </w:rPr>
        <w:t>项目总体绩效得分85.75分，其中一级指标为决策、过程、产出、效益4个指标，下设二级指标8个、三级指标13个。其中一级指标得分分布情况见下表。</w:t>
      </w:r>
    </w:p>
    <w:p>
      <w:pPr>
        <w:pStyle w:val="5"/>
        <w:rPr>
          <w:rFonts w:hint="eastAsia" w:eastAsia="宋体"/>
          <w:lang w:eastAsia="zh-CN"/>
        </w:rPr>
      </w:pPr>
      <w:r>
        <w:t xml:space="preserve">表 </w:t>
      </w:r>
      <w:r>
        <w:rPr>
          <w:rFonts w:hint="eastAsia"/>
          <w:lang w:val="en-US" w:eastAsia="zh-CN"/>
        </w:rPr>
        <w:t>3</w:t>
      </w:r>
      <w:r>
        <w:rPr>
          <w:rFonts w:hint="eastAsia"/>
          <w:lang w:eastAsia="zh-CN"/>
        </w:rPr>
        <w:t xml:space="preserve"> 一级指标得分情况</w:t>
      </w:r>
    </w:p>
    <w:tbl>
      <w:tblPr>
        <w:tblStyle w:val="1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shd w:val="clear" w:color="auto" w:fill="A4A4A4" w:themeFill="background1" w:themeFillShade="A5"/>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一级指标</w:t>
            </w:r>
          </w:p>
        </w:tc>
        <w:tc>
          <w:tcPr>
            <w:tcW w:w="2293" w:type="dxa"/>
            <w:shd w:val="clear" w:color="auto" w:fill="A4A4A4" w:themeFill="background1" w:themeFillShade="A5"/>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满分</w:t>
            </w:r>
          </w:p>
        </w:tc>
        <w:tc>
          <w:tcPr>
            <w:tcW w:w="2294" w:type="dxa"/>
            <w:shd w:val="clear" w:color="auto" w:fill="A4A4A4" w:themeFill="background1" w:themeFillShade="A5"/>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得分</w:t>
            </w:r>
          </w:p>
        </w:tc>
        <w:tc>
          <w:tcPr>
            <w:tcW w:w="2294" w:type="dxa"/>
            <w:shd w:val="clear" w:color="auto" w:fill="A4A4A4" w:themeFill="background1" w:themeFillShade="A5"/>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决策</w:t>
            </w:r>
          </w:p>
        </w:tc>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12</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6</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过程</w:t>
            </w:r>
          </w:p>
        </w:tc>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28</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23</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产出</w:t>
            </w:r>
          </w:p>
        </w:tc>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30</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28.25</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94.17%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效益</w:t>
            </w:r>
          </w:p>
        </w:tc>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30</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28.5</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vertAlign w:val="baseline"/>
                <w:lang w:val="en-US" w:eastAsia="zh-CN"/>
              </w:rPr>
            </w:pPr>
            <w:r>
              <w:rPr>
                <w:rFonts w:hint="eastAsia" w:cs="仿宋_GB2312"/>
                <w:vertAlign w:val="baseline"/>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合计</w:t>
            </w:r>
          </w:p>
        </w:tc>
        <w:tc>
          <w:tcPr>
            <w:tcW w:w="229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100</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85.75</w:t>
            </w:r>
          </w:p>
        </w:tc>
        <w:tc>
          <w:tcPr>
            <w:tcW w:w="229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cs="仿宋_GB2312"/>
                <w:b/>
                <w:bCs/>
                <w:vertAlign w:val="baseline"/>
                <w:lang w:val="en-US" w:eastAsia="zh-CN"/>
              </w:rPr>
            </w:pPr>
            <w:r>
              <w:rPr>
                <w:rFonts w:hint="eastAsia" w:cs="仿宋_GB2312"/>
                <w:b/>
                <w:bCs/>
                <w:vertAlign w:val="baseline"/>
                <w:lang w:val="en-US" w:eastAsia="zh-CN"/>
              </w:rPr>
              <w:t>85.75%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cs="仿宋_GB2312"/>
          <w:b/>
          <w:bCs/>
          <w:lang w:val="en-US" w:eastAsia="zh-CN"/>
        </w:rPr>
      </w:pPr>
      <w:r>
        <w:rPr>
          <w:rFonts w:hint="eastAsia" w:cs="仿宋_GB2312"/>
          <w:b/>
          <w:bCs/>
          <w:lang w:val="en-US" w:eastAsia="zh-CN"/>
        </w:rPr>
        <w:t>1.决策分析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该指标分值12分，下设绩效目标合理性一个三级指标，评价得分6分，得分率为50%。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lang w:val="en-US" w:eastAsia="zh-CN"/>
        </w:rPr>
        <w:t>（1）绩效目标合理性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default" w:cs="仿宋_GB2312"/>
          <w:b w:val="0"/>
          <w:bCs w:val="0"/>
          <w:lang w:val="en-US" w:eastAsia="zh-CN"/>
        </w:rPr>
        <w:t>一是绩效目标方面，根据</w:t>
      </w:r>
      <w:r>
        <w:rPr>
          <w:rFonts w:hint="eastAsia" w:cs="仿宋_GB2312"/>
          <w:b w:val="0"/>
          <w:bCs w:val="0"/>
          <w:lang w:val="en-US" w:eastAsia="zh-CN"/>
        </w:rPr>
        <w:t>该项目绩效目标表，项目设置的总体目标与招商引资工作内容相关，体现项目预期产出和预期效益，但不够具体全面，只说明资金用于宣传用途，但未阐述具体如何开展宣传工作，且未体现资金如何用于招商先锋队建设，未体现资金效益所要达到的最终目标，扣2分。二是绩效指标方面，项目设置了5个绩效指标，包括4个产出指标和1个效益指标；指标表述清晰，但细化程度不够，只对宣传业务进行细化，且个别指标设置不合理，如设置“资金使用合规</w:t>
      </w:r>
      <w:r>
        <w:rPr>
          <w:rFonts w:hint="eastAsia" w:cs="仿宋_GB2312"/>
          <w:lang w:val="en-US" w:eastAsia="zh-CN"/>
        </w:rPr>
        <w:t>性”此类共性指标，缺乏实际考核意义，部分指标可衡量性差，如设置“宣传推介效果”、“促进经济发展”等定性指标的指标值难以衡量，指标设置不够全面，未设置成本指标、时效指标、满意度指标，扣4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综上所述，该指标评价得分6分，得分率为50%。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cs="仿宋_GB2312"/>
          <w:b/>
          <w:bCs/>
          <w:lang w:val="en-US" w:eastAsia="zh-CN"/>
        </w:rPr>
      </w:pPr>
      <w:r>
        <w:rPr>
          <w:rFonts w:hint="eastAsia" w:cs="仿宋_GB2312"/>
          <w:b/>
          <w:bCs/>
          <w:lang w:val="en-US" w:eastAsia="zh-CN"/>
        </w:rPr>
        <w:t>2.过程分析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本指标包括监管有效性、自评管理质量和资金使用合规性3个三级指标，指标满分28分，评价得分23分，得分率为82.14%。</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（1）监管有效性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b w:val="0"/>
          <w:bCs w:val="0"/>
          <w:lang w:val="en-US" w:eastAsia="zh-CN"/>
        </w:rPr>
        <w:t>一是招商先锋队工作经费监管方面，区工科局参照上级部门《潮州市招商先锋队工作经费管理办法（试行）》，并结合我区实际，制定了《潮州市潮安区招商先锋队工作经费管理办法（试行）》，规范招商先锋队差旅费、办公费用的使用管理。二是招商引资工作监管方面，区工科局将总目标分解至15个镇、万峰林场，区开发区管委会，以及选派全脱产参与招商引资工作的4 支招商先锋队，并制定了《2023年潮州市潮安区招商引资工作考核评价办法》进行考核。三是招商引资项目监管方面，区工科局印发《关于建立潮安区招商项目快处快调专题会工作机制的通知》，构建“部门研判-会议决策-全周期服务管理-依法依规建设”的全链条管理机制对引进项目进行研判。四是政府采购方面，区工科局通过广东政府采购智慧云平台对印刷服务进行采购，采用定点采购的模式进行，采购过程符合相关法</w:t>
      </w:r>
      <w:r>
        <w:rPr>
          <w:rFonts w:hint="eastAsia" w:cs="仿宋_GB2312"/>
          <w:lang w:val="en-US" w:eastAsia="zh-CN"/>
        </w:rPr>
        <w:t>律法规。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综上所述，该指标评价得分8分，得分率为100%。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（2）自评管理质量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lang w:val="en-US" w:eastAsia="zh-CN"/>
        </w:rPr>
        <w:t>区</w:t>
      </w:r>
      <w:r>
        <w:rPr>
          <w:rFonts w:hint="eastAsia" w:cs="仿宋_GB2312"/>
          <w:lang w:val="en-US" w:eastAsia="zh-CN"/>
        </w:rPr>
        <w:t>工科局</w:t>
      </w:r>
      <w:r>
        <w:rPr>
          <w:rFonts w:hint="default" w:cs="仿宋_GB2312"/>
          <w:lang w:val="en-US" w:eastAsia="zh-CN"/>
        </w:rPr>
        <w:t>按</w:t>
      </w:r>
      <w:r>
        <w:rPr>
          <w:rFonts w:hint="eastAsia" w:cs="仿宋_GB2312"/>
          <w:lang w:val="en-US" w:eastAsia="zh-CN"/>
        </w:rPr>
        <w:t>《</w:t>
      </w:r>
      <w:r>
        <w:rPr>
          <w:rFonts w:hint="default" w:cs="仿宋_GB2312"/>
          <w:lang w:val="en-US" w:eastAsia="zh-CN"/>
        </w:rPr>
        <w:t>关于开展2023年度区级专项资金（项目）绩效自评工作的通知</w:t>
      </w:r>
      <w:r>
        <w:rPr>
          <w:rFonts w:hint="eastAsia" w:cs="仿宋_GB2312"/>
          <w:lang w:val="en-US" w:eastAsia="zh-CN"/>
        </w:rPr>
        <w:t>》（</w:t>
      </w:r>
      <w:r>
        <w:rPr>
          <w:rFonts w:hint="default" w:cs="仿宋_GB2312"/>
          <w:lang w:val="en-US" w:eastAsia="zh-CN"/>
        </w:rPr>
        <w:t>安财评</w:t>
      </w:r>
      <w:r>
        <w:rPr>
          <w:rFonts w:hint="eastAsia" w:ascii="仿宋" w:hAnsi="仿宋" w:eastAsia="仿宋" w:cs="仿宋"/>
          <w:lang w:val="en-US" w:eastAsia="zh-CN"/>
        </w:rPr>
        <w:t>〔</w:t>
      </w:r>
      <w:r>
        <w:rPr>
          <w:rFonts w:hint="default" w:cs="仿宋_GB2312"/>
          <w:lang w:val="en-US" w:eastAsia="zh-CN"/>
        </w:rPr>
        <w:t>2024</w:t>
      </w:r>
      <w:r>
        <w:rPr>
          <w:rFonts w:hint="eastAsia" w:ascii="仿宋" w:hAnsi="仿宋" w:eastAsia="仿宋" w:cs="仿宋"/>
          <w:lang w:val="en-US" w:eastAsia="zh-CN"/>
        </w:rPr>
        <w:t>〕</w:t>
      </w:r>
      <w:r>
        <w:rPr>
          <w:rFonts w:hint="default" w:cs="仿宋_GB2312"/>
          <w:lang w:val="en-US" w:eastAsia="zh-CN"/>
        </w:rPr>
        <w:t>2号</w:t>
      </w:r>
      <w:r>
        <w:rPr>
          <w:rFonts w:hint="eastAsia" w:cs="仿宋_GB2312"/>
          <w:lang w:val="en-US" w:eastAsia="zh-CN"/>
        </w:rPr>
        <w:t>）</w:t>
      </w:r>
      <w:r>
        <w:rPr>
          <w:rFonts w:hint="default" w:cs="仿宋_GB2312"/>
          <w:lang w:val="en-US" w:eastAsia="zh-CN"/>
        </w:rPr>
        <w:t>要求开展了重点项目自评工作，并及时</w:t>
      </w:r>
      <w:r>
        <w:rPr>
          <w:rFonts w:hint="eastAsia" w:cs="仿宋_GB2312"/>
          <w:lang w:val="en-US" w:eastAsia="zh-CN"/>
        </w:rPr>
        <w:t>通过数字财政</w:t>
      </w:r>
      <w:r>
        <w:rPr>
          <w:rFonts w:hint="default" w:cs="仿宋_GB2312"/>
          <w:lang w:val="en-US" w:eastAsia="zh-CN"/>
        </w:rPr>
        <w:t>提交自评报告、自评表及相关佐证材料，但存在以下问题</w:t>
      </w:r>
      <w:r>
        <w:rPr>
          <w:rFonts w:hint="eastAsia" w:cs="仿宋_GB2312"/>
          <w:lang w:val="en-US" w:eastAsia="zh-CN"/>
        </w:rPr>
        <w:t>：</w:t>
      </w:r>
      <w:r>
        <w:rPr>
          <w:rFonts w:hint="default" w:cs="仿宋_GB2312"/>
          <w:lang w:val="en-US" w:eastAsia="zh-CN"/>
        </w:rPr>
        <w:t>一是部分指标的得分依据分析</w:t>
      </w:r>
      <w:r>
        <w:rPr>
          <w:rFonts w:hint="eastAsia" w:cs="仿宋_GB2312"/>
          <w:lang w:val="en-US" w:eastAsia="zh-CN"/>
        </w:rPr>
        <w:t>过于简单</w:t>
      </w:r>
      <w:r>
        <w:rPr>
          <w:rFonts w:hint="default" w:cs="仿宋_GB2312"/>
          <w:lang w:val="en-US" w:eastAsia="zh-CN"/>
        </w:rPr>
        <w:t>，</w:t>
      </w:r>
      <w:r>
        <w:rPr>
          <w:rFonts w:hint="eastAsia" w:cs="仿宋_GB2312"/>
          <w:lang w:val="en-US" w:eastAsia="zh-CN"/>
        </w:rPr>
        <w:t>未能详细说明得分依据；</w:t>
      </w:r>
      <w:r>
        <w:rPr>
          <w:rFonts w:hint="default" w:cs="仿宋_GB2312"/>
          <w:lang w:val="en-US" w:eastAsia="zh-CN"/>
        </w:rPr>
        <w:t>二是佐证材料不够齐全，无法佐证各项指标完成情况</w:t>
      </w:r>
      <w:r>
        <w:rPr>
          <w:rFonts w:hint="eastAsia" w:cs="仿宋_GB2312"/>
          <w:lang w:val="en-US" w:eastAsia="zh-CN"/>
        </w:rPr>
        <w:t>；三</w:t>
      </w:r>
      <w:r>
        <w:rPr>
          <w:rFonts w:hint="default" w:cs="仿宋_GB2312"/>
          <w:lang w:val="en-US" w:eastAsia="zh-CN"/>
        </w:rPr>
        <w:t>是未按照自评要求，分析项目存在问题及完善改进措施</w:t>
      </w:r>
      <w:r>
        <w:rPr>
          <w:rFonts w:hint="eastAsia" w:cs="仿宋_GB2312"/>
          <w:lang w:val="en-US" w:eastAsia="zh-CN"/>
        </w:rPr>
        <w:t>，扣3分</w:t>
      </w:r>
      <w:r>
        <w:rPr>
          <w:rFonts w:hint="default"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综上所述，该指标评价得分3分，得分率为50%。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（3）资金使用合规性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经现场抽查部分项目支出会计凭证</w:t>
      </w:r>
      <w:r>
        <w:rPr>
          <w:rFonts w:hint="default" w:cs="仿宋_GB2312"/>
          <w:lang w:val="en-US" w:eastAsia="zh-CN"/>
        </w:rPr>
        <w:t>，</w:t>
      </w:r>
      <w:r>
        <w:rPr>
          <w:rFonts w:hint="eastAsia" w:cs="仿宋_GB2312"/>
          <w:lang w:val="en-US" w:eastAsia="zh-CN"/>
        </w:rPr>
        <w:t>认为</w:t>
      </w:r>
      <w:r>
        <w:rPr>
          <w:rFonts w:hint="default" w:cs="仿宋_GB2312"/>
          <w:lang w:val="en-US" w:eastAsia="zh-CN"/>
        </w:rPr>
        <w:t>本项目资金支出</w:t>
      </w:r>
      <w:r>
        <w:rPr>
          <w:rFonts w:hint="eastAsia" w:cs="仿宋_GB2312"/>
          <w:lang w:val="en-US" w:eastAsia="zh-CN"/>
        </w:rPr>
        <w:t>基本能</w:t>
      </w:r>
      <w:r>
        <w:rPr>
          <w:rFonts w:hint="default" w:cs="仿宋_GB2312"/>
          <w:lang w:val="en-US" w:eastAsia="zh-CN"/>
        </w:rPr>
        <w:t>符合国家财经法规和财务管理制度以及有关专项资金管理办法的规，</w:t>
      </w:r>
      <w:r>
        <w:rPr>
          <w:rFonts w:hint="eastAsia" w:cs="仿宋_GB2312"/>
          <w:lang w:val="en-US" w:eastAsia="zh-CN"/>
        </w:rPr>
        <w:t>未发生资金调剂，</w:t>
      </w:r>
      <w:r>
        <w:rPr>
          <w:rFonts w:hint="default" w:cs="仿宋_GB2312"/>
          <w:lang w:val="en-US" w:eastAsia="zh-CN"/>
        </w:rPr>
        <w:t>未发现虚列项目支出、截留、挤占、挪用项目资金情况，但仍存在</w:t>
      </w:r>
      <w:r>
        <w:rPr>
          <w:rFonts w:hint="eastAsia" w:cs="仿宋_GB2312"/>
          <w:lang w:val="en-US" w:eastAsia="zh-CN"/>
        </w:rPr>
        <w:t>以下问题：一是审核不严，如招商一队租房合同约定价格与实际报销价格不符，经核查为税费差异，但原合同未对税率进行说明；二是原始凭证不齐全，如2023年6月32#凭证，付深圳开展招商引资会差旅费中租车费5700元仅附发票，未附租车合同等依据；三是差旅费报销不符规定，如2023年6月四人赴山东招商搭乘飞机未经领导事前审批，扣2分</w:t>
      </w:r>
      <w:r>
        <w:rPr>
          <w:rFonts w:hint="default"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综上所述，该指标评价得分12分，得分率为85.71%。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cs="仿宋_GB2312"/>
          <w:b/>
          <w:bCs/>
          <w:lang w:val="en-US" w:eastAsia="zh-CN"/>
        </w:rPr>
      </w:pPr>
      <w:r>
        <w:rPr>
          <w:rFonts w:hint="eastAsia" w:cs="仿宋_GB2312"/>
          <w:b/>
          <w:bCs/>
          <w:lang w:val="en-US" w:eastAsia="zh-CN"/>
        </w:rPr>
        <w:t>3.产出分析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包括外出招商次数（次）、印刷宣传物料数量（册）、组建招商先锋队伍数（支）、落实考核制度（是/否）、不超预算（是/否）、驻点居住用房费用控制、开办一次性经费控制、日常经费控制、完成目标时间9个三级指标，指标满分30分，评价得分28.25分，得分率为94.17%。</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（1）外出招商次数（次）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本指标2.5分。结合区工科局提供的潮安区大招商工作简讯，2023年区招商先锋队到广州、深圳、成都、威海、佛山、江门等多个地方开展外出招商活动，大于4次。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综上所述，该指标评价得分2.5分，得分率为100%。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（2）印刷宣传物料数量（册）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本指标2.5分。结合区工科局提供的定点印刷验收单，2023年印刷招商引资宣传物料为15100册，大于2000册。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综上所述，该指标评价得分2.5分，得分率为100%。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（3）组建招商先锋队伍数（支）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本指标2.5分。根据《关于印发&lt;关于组建潮州市潮安区招商先锋队的工作方案&gt;的通知》（安组通〔2023〕9号）,2023年度共组建4支区招商先锋队。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综上所述，该指标评价得分2.5分，得分率为100%。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（4）落实考核制度（是/否）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区工科局2023年印发《关于印发&lt;2023年潮州市潮安区招商引资工作考核评价办法&gt;的通知》明确招商引资工作考核办法，年末按照办法落实考核并公开考核结果《关于2023年度镇场、开发区和招商先锋队招商引资工作考核结果的通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（5）不超预算（是/否）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本指标1.875分。本项目年初预算6万元，年中追加74万，超出预算较多，据区工科局说明，项目年初预算原预计用于区招商办日常办公、外出招商等支出，至2023年2月才组建区招商先锋队，酌情扣0.875分。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lang w:val="en-US" w:eastAsia="zh-CN"/>
        </w:rPr>
        <w:t>综上所述，该指标评价得分</w:t>
      </w:r>
      <w:r>
        <w:rPr>
          <w:rFonts w:hint="eastAsia" w:cs="仿宋_GB2312"/>
          <w:lang w:val="en-US" w:eastAsia="zh-CN"/>
        </w:rPr>
        <w:t>1</w:t>
      </w:r>
      <w:r>
        <w:rPr>
          <w:rFonts w:hint="default" w:cs="仿宋_GB2312"/>
          <w:lang w:val="en-US" w:eastAsia="zh-CN"/>
        </w:rPr>
        <w:t>分，得分率为</w:t>
      </w:r>
      <w:r>
        <w:rPr>
          <w:rFonts w:hint="eastAsia" w:cs="仿宋_GB2312"/>
          <w:lang w:val="en-US" w:eastAsia="zh-CN"/>
        </w:rPr>
        <w:t>53.33</w:t>
      </w:r>
      <w:r>
        <w:rPr>
          <w:rFonts w:hint="default"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（6）驻点居住用房费用控制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本指标1.875分。根据区工科局提供的租房合同及会计记账凭证，招商一队驻点广州居住用房费用每月10464元，招商二队驻点深圳居住用房费用每月10494元，均未超过15000元。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lang w:val="en-US" w:eastAsia="zh-CN"/>
        </w:rPr>
        <w:t>综上所述，该指标评价得分</w:t>
      </w:r>
      <w:r>
        <w:rPr>
          <w:rFonts w:hint="eastAsia" w:cs="仿宋_GB2312"/>
          <w:lang w:val="en-US" w:eastAsia="zh-CN"/>
        </w:rPr>
        <w:t>1.875</w:t>
      </w:r>
      <w:r>
        <w:rPr>
          <w:rFonts w:hint="default" w:cs="仿宋_GB2312"/>
          <w:lang w:val="en-US" w:eastAsia="zh-CN"/>
        </w:rPr>
        <w:t>分，得分率为</w:t>
      </w:r>
      <w:r>
        <w:rPr>
          <w:rFonts w:hint="eastAsia" w:cs="仿宋_GB2312"/>
          <w:lang w:val="en-US" w:eastAsia="zh-CN"/>
        </w:rPr>
        <w:t>100</w:t>
      </w:r>
      <w:r>
        <w:rPr>
          <w:rFonts w:hint="default"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（7）开办一次性经费控制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本指标1.875分。根据区工科局提供的发票及会计记账凭证，招商一队开办一次性经费4966.37元，招商二队开办一次性经费4576.78元，均未超过8000元。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综上所述，该指标评价得分1.875分，得分率为100%。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（8）日常经费控制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1.875分。根据区工科局提供的发票及会计记账凭证，招商一队9月份报销办公经费670.39元，招商三队6月份报销办公经费652元，据区工科局说明，超标为两个月份合并报销的原因，实际上并未超标；另有4月份支出办公费2000元，5月份支出办公费1470元，两笔分录未注明是哪支招商先锋队支出；其余日常经费未超标，扣0.875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lang w:val="en-US" w:eastAsia="zh-CN"/>
        </w:rPr>
        <w:t>综上所述，该指标评价得分1分，得分率为</w:t>
      </w:r>
      <w:r>
        <w:rPr>
          <w:rFonts w:hint="eastAsia" w:cs="仿宋_GB2312"/>
          <w:lang w:val="en-US" w:eastAsia="zh-CN"/>
        </w:rPr>
        <w:t>53.33</w:t>
      </w:r>
      <w:r>
        <w:rPr>
          <w:rFonts w:hint="default"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（9）完成目标时间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本指标7.5分。根据市大招商工作领导小组办公室《关于2023年全市招商引资签约落地项目（含增资）进展情况的通报》，我区2023年度完成市下达任务。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cs="仿宋_GB2312"/>
          <w:b/>
          <w:bCs/>
          <w:lang w:val="en-US" w:eastAsia="zh-CN"/>
        </w:rPr>
      </w:pPr>
      <w:r>
        <w:rPr>
          <w:rFonts w:hint="eastAsia" w:cs="仿宋_GB2312"/>
          <w:b/>
          <w:bCs/>
          <w:lang w:val="en-US" w:eastAsia="zh-CN"/>
        </w:rPr>
        <w:t>4.效益分析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本指标包括引进内外资产业项目数（个）、引进投资金额（亿元）、签约项目全市排名、投资额全市排名4个三级指标，指标满分30分，评价得分28.5分，得分率为95%。</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（1）引进内外资产业项目数（个）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本指标7.5分。根据市大招商工作领导小组办公室《关于2023年全市招商引资签约落地项目（含增资）进展情况的通报》，我区2023年度引进内外资产业项目数213个，大于61个。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综上所述，该指标评价得分7.5分，得分率为100%。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（2）引进投资金额（亿元）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本指标7.5分。根据市大招商工作领导小组办公室《关于2023年全市招商引资签约落地项目（含增资）进展情况的通报》，我区2023年度引进投资金额125.09亿元，大于86亿元。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（3）签约项目全市排名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本指标7.5分。根据市大招商工作领导小组办公室《关于2023年全市招商引资签约落地项目（含增资）进展情况的通报》，我区2023年度签约项目全市排名第一。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综上所述，该指标评价得分7.5分，得分率为100%。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（4）投资额全市排名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本指标7.5分。根据市大招商工作领导小组办公室《关于2023年全市招商引资签约落地项目（含增资）进展情况的通报》，我区2023年度投资额全市排名第二，酌情扣1.5分。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综上所述，该指标评价得分6分，得分率为80%。</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主要绩效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（一）以任务引领为基础，有效搭建招商引资工作格局。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default" w:cs="仿宋_GB2312"/>
          <w:b w:val="0"/>
          <w:bCs w:val="0"/>
          <w:lang w:val="en-US" w:eastAsia="zh-CN"/>
        </w:rPr>
        <w:t>一是形成招商机制。立足“抓项目抓发展关键是抓招商引资”，把招商引资作为“一把手”工程，召开动员大会，出台工作方案，成立工作专班，搭建政策体系，制定项目对接研判流程，推动构建全员招商、全员服务工作格局。二是明确招商方向。重点瞄准陶瓷、食品、包装印刷、不锈钢、单丛茶等五大传统优势产业以及生物医药、安全应急、新能源等新兴产业，并调研、分析、整理</w:t>
      </w:r>
      <w:r>
        <w:rPr>
          <w:rFonts w:hint="eastAsia" w:cs="仿宋_GB2312"/>
          <w:b w:val="0"/>
          <w:bCs w:val="0"/>
          <w:lang w:val="en-US" w:eastAsia="zh-CN"/>
        </w:rPr>
        <w:t>潮安区</w:t>
      </w:r>
      <w:r>
        <w:rPr>
          <w:rFonts w:hint="default" w:cs="仿宋_GB2312"/>
          <w:b w:val="0"/>
          <w:bCs w:val="0"/>
          <w:lang w:val="en-US" w:eastAsia="zh-CN"/>
        </w:rPr>
        <w:t>产业链亟需补链强链延链的环节，形成</w:t>
      </w:r>
      <w:r>
        <w:rPr>
          <w:rFonts w:hint="default" w:cs="仿宋_GB2312"/>
          <w:lang w:val="en-US" w:eastAsia="zh-CN"/>
        </w:rPr>
        <w:t>招商引资目标企业清单、本地增资扩产目标企业清单，理清产业脉络，找准发展方</w:t>
      </w:r>
      <w:r>
        <w:rPr>
          <w:rFonts w:hint="default" w:cs="仿宋_GB2312"/>
          <w:b w:val="0"/>
          <w:bCs w:val="0"/>
          <w:lang w:val="en-US" w:eastAsia="zh-CN"/>
        </w:rPr>
        <w:t>向。三是压实主体责任。建立统计通报机制，坚持对各乡镇、各部门招商引资的走访、洽谈、签约、注册、投资额、税收贡献等实行台账化管理，每</w:t>
      </w:r>
      <w:r>
        <w:rPr>
          <w:rFonts w:hint="default" w:cs="仿宋_GB2312"/>
          <w:lang w:val="en-US" w:eastAsia="zh-CN"/>
        </w:rPr>
        <w:t>月通报各单位招商成果和任务进度，强化结果导向</w:t>
      </w:r>
      <w:r>
        <w:rPr>
          <w:rFonts w:hint="eastAsia"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ascii="楷体" w:hAnsi="楷体" w:eastAsia="楷体" w:cs="楷体"/>
          <w:lang w:val="en-US" w:eastAsia="zh-CN"/>
        </w:rPr>
        <w:t>（二）以重点产业为导向，有效引进招商引资投资项目。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default" w:cs="仿宋_GB2312"/>
          <w:b w:val="0"/>
          <w:bCs w:val="0"/>
          <w:lang w:val="en-US" w:eastAsia="zh-CN"/>
        </w:rPr>
        <w:t>一是注重产业链招商。立足现有产业基础，深化与深圳潮州商会等潮属商协会的对接联系，不断招引“源头活水”，促进合信温泉度假村、佳信公司学校+住宅等重点项目以及 4 个光伏新能源项目“落地开花”。二是推进“以会招商”。利用糖酒会、广交会等全国性展会平台，宣传推介</w:t>
      </w:r>
      <w:r>
        <w:rPr>
          <w:rFonts w:hint="eastAsia" w:cs="仿宋_GB2312"/>
          <w:b w:val="0"/>
          <w:bCs w:val="0"/>
          <w:lang w:val="en-US" w:eastAsia="zh-CN"/>
        </w:rPr>
        <w:t>潮安区</w:t>
      </w:r>
      <w:r>
        <w:rPr>
          <w:rFonts w:hint="default" w:cs="仿宋_GB2312"/>
          <w:b w:val="0"/>
          <w:bCs w:val="0"/>
          <w:lang w:val="en-US" w:eastAsia="zh-CN"/>
        </w:rPr>
        <w:t>投资环境和发展潜力</w:t>
      </w:r>
      <w:r>
        <w:rPr>
          <w:rFonts w:hint="eastAsia" w:cs="仿宋_GB2312"/>
          <w:b w:val="0"/>
          <w:bCs w:val="0"/>
          <w:lang w:val="en-US" w:eastAsia="zh-CN"/>
        </w:rPr>
        <w:t>，</w:t>
      </w:r>
      <w:r>
        <w:rPr>
          <w:rFonts w:hint="default" w:cs="仿宋_GB2312"/>
          <w:b w:val="0"/>
          <w:bCs w:val="0"/>
          <w:lang w:val="en-US" w:eastAsia="zh-CN"/>
        </w:rPr>
        <w:t>紧盯重点企业、重点项目和重点产业“靶向发力”，高频次外出招商，2023年全年走访目标企业超</w:t>
      </w:r>
      <w:r>
        <w:rPr>
          <w:rFonts w:hint="eastAsia" w:cs="仿宋_GB2312"/>
          <w:b w:val="0"/>
          <w:bCs w:val="0"/>
          <w:lang w:val="en-US" w:eastAsia="zh-CN"/>
        </w:rPr>
        <w:t>1600</w:t>
      </w:r>
      <w:r>
        <w:rPr>
          <w:rFonts w:hint="default" w:cs="仿宋_GB2312"/>
          <w:b w:val="0"/>
          <w:bCs w:val="0"/>
          <w:lang w:val="en-US" w:eastAsia="zh-CN"/>
        </w:rPr>
        <w:t>家，形成在谈项目超350个、初步意向投资额超</w:t>
      </w:r>
      <w:r>
        <w:rPr>
          <w:rFonts w:hint="eastAsia" w:cs="仿宋_GB2312"/>
          <w:b w:val="0"/>
          <w:bCs w:val="0"/>
          <w:lang w:val="en-US" w:eastAsia="zh-CN"/>
        </w:rPr>
        <w:t>450</w:t>
      </w:r>
      <w:r>
        <w:rPr>
          <w:rFonts w:hint="default" w:cs="仿宋_GB2312"/>
          <w:b w:val="0"/>
          <w:bCs w:val="0"/>
          <w:lang w:val="en-US" w:eastAsia="zh-CN"/>
        </w:rPr>
        <w:t>亿。三是用好对口帮扶。组织多次招商引资业务交流会，学习深圳招商引资、优化营商环境等先进经验；利用深潮联合招商会等项目</w:t>
      </w:r>
      <w:r>
        <w:rPr>
          <w:rFonts w:hint="default" w:cs="仿宋_GB2312"/>
          <w:lang w:val="en-US" w:eastAsia="zh-CN"/>
        </w:rPr>
        <w:t>举荐会开展联合招商，在设立“产业转移飞地”和“反向飞地”方面加强合作，依托深圳市优质人才、项目、资本等要素资源推动招商引资</w:t>
      </w:r>
      <w:r>
        <w:rPr>
          <w:rFonts w:hint="eastAsia"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（三）以多样宣传为依托，有效营造招商引资良好氛围。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b w:val="0"/>
          <w:bCs w:val="0"/>
          <w:lang w:val="en-US" w:eastAsia="zh-CN"/>
        </w:rPr>
      </w:pPr>
      <w:r>
        <w:rPr>
          <w:rFonts w:hint="default" w:cs="仿宋_GB2312"/>
          <w:b w:val="0"/>
          <w:bCs w:val="0"/>
          <w:lang w:val="en-US" w:eastAsia="zh-CN"/>
        </w:rPr>
        <w:t>一是“六个一”强宣传。聚焦建好一个招商数字平台、拍好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cs="仿宋_GB2312"/>
          <w:b w:val="0"/>
          <w:bCs w:val="0"/>
          <w:lang w:val="en-US" w:eastAsia="zh-CN"/>
        </w:rPr>
      </w:pPr>
      <w:r>
        <w:rPr>
          <w:rFonts w:hint="default" w:cs="仿宋_GB2312"/>
          <w:b w:val="0"/>
          <w:bCs w:val="0"/>
          <w:lang w:val="en-US" w:eastAsia="zh-CN"/>
        </w:rPr>
        <w:t>一部招商宣传片、做好一本投资指南、绘好一张招商地图、编好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cs="仿宋_GB2312"/>
          <w:lang w:val="en-US" w:eastAsia="zh-CN"/>
        </w:rPr>
      </w:pPr>
      <w:r>
        <w:rPr>
          <w:rFonts w:hint="default" w:cs="仿宋_GB2312"/>
          <w:b w:val="0"/>
          <w:bCs w:val="0"/>
          <w:lang w:val="en-US" w:eastAsia="zh-CN"/>
        </w:rPr>
        <w:t>一套招商政策、建好一个“招商资源库”和“备选项目库”，“六个一”全方位宣传推介潮安。二是“自媒体”强联动。在区政府官网增设“招商引资”专栏，同时联合区融媒体中心对招商先锋队、入园区企业进行采访，营造浓郁招商氛围，促进以商招商、产业集聚、延链扩链。三是“项目包”</w:t>
      </w:r>
      <w:r>
        <w:rPr>
          <w:rFonts w:hint="default" w:cs="仿宋_GB2312"/>
          <w:lang w:val="en-US" w:eastAsia="zh-CN"/>
        </w:rPr>
        <w:t>强策划。突出糖果小镇、庵江溪片区一河两岸、西山溪片区“粤东智造高地·山水生态新城”、食品（预制菜）产业园、智能卫浴产业园等项目推介，提升招商引资针对性和吸引力。</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存在问题</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绩效目标填报有待进一步规范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b w:val="0"/>
          <w:bCs w:val="0"/>
          <w:lang w:val="en-US" w:eastAsia="zh-CN"/>
        </w:rPr>
        <w:t>一是绩效目标填报不全，未针对项目预期实施内容完整展开阐述，仅对宣传工作进行目标设定，未对招商先锋队活动目标进行设定。二是绩效指标设置不规范，例如设置“资金使用合规性”等共性指标不具考核意义，设置定性指标“促进经济发展”的指标值也为“促进经济发展</w:t>
      </w:r>
      <w:r>
        <w:rPr>
          <w:rFonts w:hint="eastAsia" w:cs="仿宋_GB2312"/>
          <w:lang w:val="en-US" w:eastAsia="zh-CN"/>
        </w:rPr>
        <w:t>”，没有明确细化，难以衡量。三是指标值设置过小，如设置“外出招商次数”不低于4次，“印刷宣传物料数量不低于2000册”，实际外出招商次数达10次以上，印刷宣传物料达15100册，无法真实反映项目绩效。</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自评工作质量有待进一步提高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b w:val="0"/>
          <w:bCs w:val="0"/>
          <w:lang w:val="en-US" w:eastAsia="zh-CN"/>
        </w:rPr>
        <w:t>一是自评分析较为笼统，自评表格填报内容不完整，项目绩效指标评分分析填写过于笼统简单，例如监管有效性指标的评分依据仅笼统表述“监管有效”，不具说服力。二是自评要素欠缺，未深刻分析项目的问题及改进措施，同时未按要求</w:t>
      </w:r>
      <w:r>
        <w:rPr>
          <w:rFonts w:hint="eastAsia" w:cs="仿宋_GB2312"/>
          <w:lang w:val="en-US" w:eastAsia="zh-CN"/>
        </w:rPr>
        <w:t>填写佐证材料清单，多个指标的佐证材料混淆一体，增加复核工作量。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（三）项目监督工作有待进一步加强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b w:val="0"/>
          <w:bCs w:val="0"/>
          <w:lang w:val="en-US" w:eastAsia="zh-CN"/>
        </w:rPr>
        <w:t>一是存在审核不严的问题，评价组现场评价过程中发现招商一队租房合同约定价格与实际报销价格不符，但原合同未对税率进行说明，以及深圳开展招商引资会差旅费中租车费未附租车合同等依据的问题；二是存在事后审批的问题，评价组现场评价过程中发现赴山东招商搭乘飞</w:t>
      </w:r>
      <w:r>
        <w:rPr>
          <w:rFonts w:hint="eastAsia" w:cs="仿宋_GB2312"/>
          <w:lang w:val="en-US" w:eastAsia="zh-CN"/>
        </w:rPr>
        <w:t>机未经领导事前审批，不符合《关于印发&lt;潮安区区直党政机关和事业单位差旅费管理办法（2019年修订）&gt;的通知》（安财行</w:t>
      </w:r>
      <w:r>
        <w:rPr>
          <w:rFonts w:hint="eastAsia" w:ascii="仿宋" w:hAnsi="仿宋" w:eastAsia="仿宋" w:cs="仿宋"/>
          <w:lang w:val="en-US" w:eastAsia="zh-CN"/>
        </w:rPr>
        <w:t>〔2019〕172号</w:t>
      </w:r>
      <w:r>
        <w:rPr>
          <w:rFonts w:hint="eastAsia" w:cs="仿宋_GB2312"/>
          <w:lang w:val="en-US" w:eastAsia="zh-CN"/>
        </w:rPr>
        <w:t>）事前审批的规定。</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（一）强化绩效目标管理责任意识，提高编制质量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单位要加强对预算绩效目标编制质量的刚性约束，不断规范编制行为，按照“谁支出，谁编制”的原则落实各部门职责，强化支出部门的绩效管理主体责任，增强自我约束意识和责任意识。同时编制绩效目标时要紧密结合政策文件、工作方案、服务合同等文件依据，从文件中提取绩效目标信息，避免绩效目标设置浮于表面，例如本项目应结合《2023年潮州市潮安区招商引资工作方案》、《关于印发&lt;2023年潮州市潮安区招商引资工作考核评价办法&gt;的通知》及印刷服务合同进行提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（二）提高自评工作重视程度，提高自评质量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r>
        <w:rPr>
          <w:rFonts w:hint="eastAsia" w:cs="仿宋_GB2312"/>
          <w:lang w:val="en-US" w:eastAsia="zh-CN"/>
        </w:rPr>
        <w:t>按照“谁使用、谁评价”的原则，建立健全项目自评工作机制，如实反映绩效目标实现结果，对绩效目标未达成或绩效目标制定明显不合理的，要作出说明并提出改进措施，提高部门履职效能和公共服务质量，不断提高绩效自评质量。同时要认真研究自评通知，按通知要求推进自评工作，避免自评要素欠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（三）加强项目过程监督力度，提高财务质量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bookmarkStart w:id="0" w:name="_GoBack"/>
      <w:r>
        <w:rPr>
          <w:rFonts w:hint="eastAsia" w:cs="仿宋_GB2312"/>
          <w:b w:val="0"/>
          <w:bCs w:val="0"/>
          <w:lang w:val="en-US" w:eastAsia="zh-CN"/>
        </w:rPr>
        <w:t>一是要提高业务部门报销严谨性，针对有关部门在差旅费报销中存在手续不健全，资料不齐全现象，建议组织内部报销业务相关培训，增强业务部门财务法规意识，从源头减少票据不齐全的发生。二是</w:t>
      </w:r>
      <w:bookmarkEnd w:id="0"/>
      <w:r>
        <w:rPr>
          <w:rFonts w:hint="eastAsia" w:cs="仿宋_GB2312"/>
          <w:lang w:val="en-US" w:eastAsia="zh-CN"/>
        </w:rPr>
        <w:t>要严把报销审核，从原始凭证审核入手，严把票据审核，审核各项费用明细是否合规，填报内容是否真实完整，发票附件以及相关文件通知是否齐备。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附件：绩效评价指标得分情况</w:t>
      </w:r>
    </w:p>
    <w:sectPr>
      <w:footerReference r:id="rId9" w:type="default"/>
      <w:footerReference r:id="rId10" w:type="even"/>
      <w:pgSz w:w="11907" w:h="16839"/>
      <w:pgMar w:top="2041" w:right="1418" w:bottom="1418" w:left="1531" w:header="851" w:footer="992" w:gutter="0"/>
      <w:pgNumType w:fmt="numberInDash"/>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819923"/>
    </w:sdtPr>
    <w:sdtEndPr>
      <w:rPr>
        <w:rFonts w:hint="eastAsia" w:hAnsi="Times New Roman" w:cs="Times New Roman"/>
        <w:lang w:val="zh-CN"/>
      </w:rPr>
    </w:sdtEndPr>
    <w:sdtContent>
      <w:p>
        <w:pPr>
          <w:pStyle w:val="10"/>
          <w:ind w:firstLine="360"/>
          <w:jc w:val="right"/>
          <w:rPr>
            <w:rFonts w:hAnsi="Times New Roman" w:cs="Times New Roman"/>
          </w:rPr>
        </w:pPr>
        <w:r>
          <w:rPr>
            <w:rFonts w:hint="eastAsia" w:hAnsi="Times New Roman" w:cs="Times New Roman"/>
            <w:sz w:val="28"/>
            <w:szCs w:val="28"/>
          </w:rPr>
          <w:fldChar w:fldCharType="begin"/>
        </w:r>
        <w:r>
          <w:rPr>
            <w:rFonts w:hint="eastAsia" w:hAnsi="Times New Roman" w:cs="Times New Roman"/>
            <w:sz w:val="28"/>
            <w:szCs w:val="28"/>
          </w:rPr>
          <w:instrText xml:space="preserve"> PAGE   \* MERGEFORMAT </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1 -</w:t>
        </w:r>
        <w:r>
          <w:rPr>
            <w:rFonts w:hint="eastAsia" w:hAnsi="Times New Roman" w:cs="Times New Roman"/>
            <w:sz w:val="28"/>
            <w:szCs w:val="28"/>
            <w:lang w:val="zh-CN"/>
          </w:rP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486463"/>
    </w:sdtPr>
    <w:sdtEndPr>
      <w:rPr>
        <w:rFonts w:hint="eastAsia" w:hAnsi="Times New Roman" w:cs="Times New Roman"/>
        <w:sz w:val="28"/>
        <w:szCs w:val="28"/>
      </w:rPr>
    </w:sdtEndPr>
    <w:sdtContent>
      <w:p>
        <w:pPr>
          <w:pStyle w:val="10"/>
          <w:ind w:firstLine="360"/>
          <w:rPr>
            <w:rFonts w:hAnsi="Times New Roman" w:cs="Times New Roman"/>
            <w:sz w:val="28"/>
            <w:szCs w:val="28"/>
          </w:rPr>
        </w:pPr>
        <w:r>
          <w:rPr>
            <w:rFonts w:hint="eastAsia" w:hAnsi="Times New Roman" w:cs="Times New Roman"/>
            <w:sz w:val="28"/>
            <w:szCs w:val="28"/>
          </w:rPr>
          <w:fldChar w:fldCharType="begin"/>
        </w:r>
        <w:r>
          <w:rPr>
            <w:rFonts w:hint="eastAsia" w:hAnsi="Times New Roman" w:cs="Times New Roman"/>
            <w:sz w:val="28"/>
            <w:szCs w:val="28"/>
          </w:rPr>
          <w:instrText xml:space="preserve">PAGE   \* MERGEFORMAT</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2 -</w:t>
        </w:r>
        <w:r>
          <w:rPr>
            <w:rFonts w:hint="eastAsia" w:hAnsi="Times New Roman" w:cs="Times New Roman"/>
            <w:sz w:val="28"/>
            <w:szCs w:val="28"/>
          </w:rPr>
          <w:fldChar w:fldCharType="end"/>
        </w:r>
      </w:p>
    </w:sdtContent>
  </w:sdt>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D4C1E"/>
    <w:multiLevelType w:val="singleLevel"/>
    <w:tmpl w:val="8C8D4C1E"/>
    <w:lvl w:ilvl="0" w:tentative="0">
      <w:start w:val="1"/>
      <w:numFmt w:val="chineseCounting"/>
      <w:suff w:val="nothing"/>
      <w:lvlText w:val="（%1）"/>
      <w:lvlJc w:val="left"/>
      <w:rPr>
        <w:rFonts w:hint="eastAsia"/>
      </w:rPr>
    </w:lvl>
  </w:abstractNum>
  <w:abstractNum w:abstractNumId="1">
    <w:nsid w:val="D8583879"/>
    <w:multiLevelType w:val="singleLevel"/>
    <w:tmpl w:val="D8583879"/>
    <w:lvl w:ilvl="0" w:tentative="0">
      <w:start w:val="1"/>
      <w:numFmt w:val="chineseCounting"/>
      <w:suff w:val="nothing"/>
      <w:lvlText w:val="%1、"/>
      <w:lvlJc w:val="left"/>
      <w:rPr>
        <w:rFonts w:hint="eastAsia"/>
      </w:rPr>
    </w:lvl>
  </w:abstractNum>
  <w:abstractNum w:abstractNumId="2">
    <w:nsid w:val="3D08A2E4"/>
    <w:multiLevelType w:val="singleLevel"/>
    <w:tmpl w:val="3D08A2E4"/>
    <w:lvl w:ilvl="0" w:tentative="0">
      <w:start w:val="1"/>
      <w:numFmt w:val="chineseCounting"/>
      <w:suff w:val="nothing"/>
      <w:lvlText w:val="（%1）"/>
      <w:lvlJc w:val="left"/>
      <w:rPr>
        <w:rFonts w:hint="eastAsia"/>
      </w:rPr>
    </w:lvl>
  </w:abstractNum>
  <w:abstractNum w:abstractNumId="3">
    <w:nsid w:val="4CF22AAA"/>
    <w:multiLevelType w:val="singleLevel"/>
    <w:tmpl w:val="4CF22AA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304"/>
    <w:rsid w:val="00001FFF"/>
    <w:rsid w:val="0000735B"/>
    <w:rsid w:val="00013FEA"/>
    <w:rsid w:val="0001654B"/>
    <w:rsid w:val="00025618"/>
    <w:rsid w:val="00031F72"/>
    <w:rsid w:val="000354BC"/>
    <w:rsid w:val="000402C0"/>
    <w:rsid w:val="00045FAE"/>
    <w:rsid w:val="00057FDF"/>
    <w:rsid w:val="000751C9"/>
    <w:rsid w:val="000815F5"/>
    <w:rsid w:val="0008162C"/>
    <w:rsid w:val="000842F4"/>
    <w:rsid w:val="00085DC9"/>
    <w:rsid w:val="00092BAF"/>
    <w:rsid w:val="00092BCD"/>
    <w:rsid w:val="00095DAB"/>
    <w:rsid w:val="000A1D62"/>
    <w:rsid w:val="000A5B64"/>
    <w:rsid w:val="000B028E"/>
    <w:rsid w:val="000B1337"/>
    <w:rsid w:val="000B19D2"/>
    <w:rsid w:val="000B3E41"/>
    <w:rsid w:val="000B3EA2"/>
    <w:rsid w:val="000B69A8"/>
    <w:rsid w:val="000C0361"/>
    <w:rsid w:val="000C6181"/>
    <w:rsid w:val="000C6217"/>
    <w:rsid w:val="000D0583"/>
    <w:rsid w:val="000D1814"/>
    <w:rsid w:val="000D1968"/>
    <w:rsid w:val="000D2713"/>
    <w:rsid w:val="000D3992"/>
    <w:rsid w:val="000D40EB"/>
    <w:rsid w:val="000D627C"/>
    <w:rsid w:val="000D694F"/>
    <w:rsid w:val="000E183D"/>
    <w:rsid w:val="000E458E"/>
    <w:rsid w:val="000F23F6"/>
    <w:rsid w:val="000F2762"/>
    <w:rsid w:val="000F7722"/>
    <w:rsid w:val="00106D52"/>
    <w:rsid w:val="00110865"/>
    <w:rsid w:val="0011223D"/>
    <w:rsid w:val="001140EA"/>
    <w:rsid w:val="00117D96"/>
    <w:rsid w:val="00123C77"/>
    <w:rsid w:val="00124205"/>
    <w:rsid w:val="00130E6A"/>
    <w:rsid w:val="00131505"/>
    <w:rsid w:val="00132538"/>
    <w:rsid w:val="00141CD5"/>
    <w:rsid w:val="0014213B"/>
    <w:rsid w:val="00155116"/>
    <w:rsid w:val="00155C1E"/>
    <w:rsid w:val="00170F81"/>
    <w:rsid w:val="00172A27"/>
    <w:rsid w:val="001840A1"/>
    <w:rsid w:val="001864FD"/>
    <w:rsid w:val="001870DF"/>
    <w:rsid w:val="001879FA"/>
    <w:rsid w:val="00195C16"/>
    <w:rsid w:val="001A04F4"/>
    <w:rsid w:val="001A4A7C"/>
    <w:rsid w:val="001A759D"/>
    <w:rsid w:val="001B326F"/>
    <w:rsid w:val="001B392B"/>
    <w:rsid w:val="001C1E9C"/>
    <w:rsid w:val="001C2E38"/>
    <w:rsid w:val="001D04D9"/>
    <w:rsid w:val="001D20AC"/>
    <w:rsid w:val="001D307D"/>
    <w:rsid w:val="001D570D"/>
    <w:rsid w:val="001D65BD"/>
    <w:rsid w:val="001E51B4"/>
    <w:rsid w:val="001F60F3"/>
    <w:rsid w:val="00201BB8"/>
    <w:rsid w:val="0020428C"/>
    <w:rsid w:val="00204DDB"/>
    <w:rsid w:val="0020672E"/>
    <w:rsid w:val="00213B2C"/>
    <w:rsid w:val="0021708A"/>
    <w:rsid w:val="002177EE"/>
    <w:rsid w:val="0022054B"/>
    <w:rsid w:val="002206A8"/>
    <w:rsid w:val="002227BF"/>
    <w:rsid w:val="002254E2"/>
    <w:rsid w:val="00226DEE"/>
    <w:rsid w:val="00227536"/>
    <w:rsid w:val="00227C25"/>
    <w:rsid w:val="00240A0D"/>
    <w:rsid w:val="00241795"/>
    <w:rsid w:val="002439B1"/>
    <w:rsid w:val="00243AAB"/>
    <w:rsid w:val="00244DE8"/>
    <w:rsid w:val="00244ED2"/>
    <w:rsid w:val="00246022"/>
    <w:rsid w:val="002460F1"/>
    <w:rsid w:val="00253F68"/>
    <w:rsid w:val="00254061"/>
    <w:rsid w:val="002540BD"/>
    <w:rsid w:val="00254998"/>
    <w:rsid w:val="002564CE"/>
    <w:rsid w:val="00260D15"/>
    <w:rsid w:val="00264326"/>
    <w:rsid w:val="0026528B"/>
    <w:rsid w:val="00265EF9"/>
    <w:rsid w:val="00270928"/>
    <w:rsid w:val="00275F74"/>
    <w:rsid w:val="002767CE"/>
    <w:rsid w:val="00280A32"/>
    <w:rsid w:val="00282845"/>
    <w:rsid w:val="0029384C"/>
    <w:rsid w:val="00294BD8"/>
    <w:rsid w:val="002958AB"/>
    <w:rsid w:val="002A3577"/>
    <w:rsid w:val="002A7410"/>
    <w:rsid w:val="002B25D8"/>
    <w:rsid w:val="002B49DC"/>
    <w:rsid w:val="002B5A01"/>
    <w:rsid w:val="002C1241"/>
    <w:rsid w:val="002C2F60"/>
    <w:rsid w:val="002C3575"/>
    <w:rsid w:val="002C5575"/>
    <w:rsid w:val="002C7C79"/>
    <w:rsid w:val="002D048F"/>
    <w:rsid w:val="002D0EAC"/>
    <w:rsid w:val="002D6211"/>
    <w:rsid w:val="002E01C4"/>
    <w:rsid w:val="002E3EB5"/>
    <w:rsid w:val="002E63AD"/>
    <w:rsid w:val="002F1FB8"/>
    <w:rsid w:val="002F2980"/>
    <w:rsid w:val="002F463B"/>
    <w:rsid w:val="002F62B5"/>
    <w:rsid w:val="00301072"/>
    <w:rsid w:val="003027D2"/>
    <w:rsid w:val="00310354"/>
    <w:rsid w:val="003117B0"/>
    <w:rsid w:val="00311A07"/>
    <w:rsid w:val="00314977"/>
    <w:rsid w:val="00316F1C"/>
    <w:rsid w:val="00322C8B"/>
    <w:rsid w:val="00323C13"/>
    <w:rsid w:val="003268E8"/>
    <w:rsid w:val="00326CB9"/>
    <w:rsid w:val="00332217"/>
    <w:rsid w:val="0033277C"/>
    <w:rsid w:val="003333A0"/>
    <w:rsid w:val="00336030"/>
    <w:rsid w:val="003414EB"/>
    <w:rsid w:val="00342885"/>
    <w:rsid w:val="00343171"/>
    <w:rsid w:val="00346A83"/>
    <w:rsid w:val="00350CE3"/>
    <w:rsid w:val="00351A4B"/>
    <w:rsid w:val="00352B93"/>
    <w:rsid w:val="00353D0D"/>
    <w:rsid w:val="00355A74"/>
    <w:rsid w:val="00356B73"/>
    <w:rsid w:val="00360B51"/>
    <w:rsid w:val="00365CA2"/>
    <w:rsid w:val="0036624E"/>
    <w:rsid w:val="003813F1"/>
    <w:rsid w:val="00383928"/>
    <w:rsid w:val="00383A6C"/>
    <w:rsid w:val="0038496E"/>
    <w:rsid w:val="0039073B"/>
    <w:rsid w:val="00393A45"/>
    <w:rsid w:val="00396323"/>
    <w:rsid w:val="003A0FD8"/>
    <w:rsid w:val="003A1D90"/>
    <w:rsid w:val="003A2331"/>
    <w:rsid w:val="003A362F"/>
    <w:rsid w:val="003A3A3A"/>
    <w:rsid w:val="003A522B"/>
    <w:rsid w:val="003A78B0"/>
    <w:rsid w:val="003B0CB1"/>
    <w:rsid w:val="003B5320"/>
    <w:rsid w:val="003B6EF5"/>
    <w:rsid w:val="003C12C1"/>
    <w:rsid w:val="003C1EFF"/>
    <w:rsid w:val="003C476D"/>
    <w:rsid w:val="003C62E3"/>
    <w:rsid w:val="003D2861"/>
    <w:rsid w:val="003D3AA3"/>
    <w:rsid w:val="003D7A31"/>
    <w:rsid w:val="003E0BF0"/>
    <w:rsid w:val="003E41A3"/>
    <w:rsid w:val="003E45AF"/>
    <w:rsid w:val="003E5458"/>
    <w:rsid w:val="003E5DCA"/>
    <w:rsid w:val="003F1573"/>
    <w:rsid w:val="003F6C13"/>
    <w:rsid w:val="003F7079"/>
    <w:rsid w:val="00404657"/>
    <w:rsid w:val="00410275"/>
    <w:rsid w:val="00410A60"/>
    <w:rsid w:val="004119E8"/>
    <w:rsid w:val="004130E9"/>
    <w:rsid w:val="0041526E"/>
    <w:rsid w:val="00423856"/>
    <w:rsid w:val="004247B8"/>
    <w:rsid w:val="004256F9"/>
    <w:rsid w:val="00430C22"/>
    <w:rsid w:val="004334E5"/>
    <w:rsid w:val="00436ED3"/>
    <w:rsid w:val="00437AD2"/>
    <w:rsid w:val="004440A3"/>
    <w:rsid w:val="004444F5"/>
    <w:rsid w:val="00450AB4"/>
    <w:rsid w:val="00452414"/>
    <w:rsid w:val="00452630"/>
    <w:rsid w:val="00455C1E"/>
    <w:rsid w:val="00461229"/>
    <w:rsid w:val="00464681"/>
    <w:rsid w:val="004664C6"/>
    <w:rsid w:val="00471615"/>
    <w:rsid w:val="00471C70"/>
    <w:rsid w:val="00474348"/>
    <w:rsid w:val="00485DA7"/>
    <w:rsid w:val="00486C01"/>
    <w:rsid w:val="004902B4"/>
    <w:rsid w:val="00491EBC"/>
    <w:rsid w:val="004A078E"/>
    <w:rsid w:val="004A3814"/>
    <w:rsid w:val="004A3F14"/>
    <w:rsid w:val="004B4207"/>
    <w:rsid w:val="004B5420"/>
    <w:rsid w:val="004C27CC"/>
    <w:rsid w:val="004C2983"/>
    <w:rsid w:val="004D1CCB"/>
    <w:rsid w:val="004D2CFB"/>
    <w:rsid w:val="004D72C5"/>
    <w:rsid w:val="004D7665"/>
    <w:rsid w:val="004E2971"/>
    <w:rsid w:val="004E73DB"/>
    <w:rsid w:val="004F0291"/>
    <w:rsid w:val="004F51D6"/>
    <w:rsid w:val="004F5579"/>
    <w:rsid w:val="004F5BAB"/>
    <w:rsid w:val="004F6F9B"/>
    <w:rsid w:val="00501F67"/>
    <w:rsid w:val="00504060"/>
    <w:rsid w:val="005069D5"/>
    <w:rsid w:val="0051109E"/>
    <w:rsid w:val="005138F4"/>
    <w:rsid w:val="00514545"/>
    <w:rsid w:val="00517C8E"/>
    <w:rsid w:val="00521933"/>
    <w:rsid w:val="00521FEA"/>
    <w:rsid w:val="00525576"/>
    <w:rsid w:val="00526BDF"/>
    <w:rsid w:val="005270B7"/>
    <w:rsid w:val="005319BE"/>
    <w:rsid w:val="005323C7"/>
    <w:rsid w:val="00532B0A"/>
    <w:rsid w:val="00535D49"/>
    <w:rsid w:val="00536987"/>
    <w:rsid w:val="0054375D"/>
    <w:rsid w:val="00550A86"/>
    <w:rsid w:val="00556B5C"/>
    <w:rsid w:val="005577D6"/>
    <w:rsid w:val="00557C01"/>
    <w:rsid w:val="005602EC"/>
    <w:rsid w:val="005828D8"/>
    <w:rsid w:val="0059307E"/>
    <w:rsid w:val="0059658A"/>
    <w:rsid w:val="005970E4"/>
    <w:rsid w:val="00597ED6"/>
    <w:rsid w:val="005A1B4F"/>
    <w:rsid w:val="005A33F8"/>
    <w:rsid w:val="005A7AF4"/>
    <w:rsid w:val="005B1BE6"/>
    <w:rsid w:val="005B46D0"/>
    <w:rsid w:val="005B6000"/>
    <w:rsid w:val="005B75E3"/>
    <w:rsid w:val="005C7D74"/>
    <w:rsid w:val="005D16DC"/>
    <w:rsid w:val="005D1934"/>
    <w:rsid w:val="005D3E46"/>
    <w:rsid w:val="005D4BB7"/>
    <w:rsid w:val="005D4F79"/>
    <w:rsid w:val="005E0E21"/>
    <w:rsid w:val="005E224A"/>
    <w:rsid w:val="005E30A2"/>
    <w:rsid w:val="005E37A7"/>
    <w:rsid w:val="005E5709"/>
    <w:rsid w:val="005F0E1D"/>
    <w:rsid w:val="005F19B7"/>
    <w:rsid w:val="005F3EE0"/>
    <w:rsid w:val="005F3F58"/>
    <w:rsid w:val="005F58E5"/>
    <w:rsid w:val="0060178F"/>
    <w:rsid w:val="00602D01"/>
    <w:rsid w:val="006048DD"/>
    <w:rsid w:val="00606CA9"/>
    <w:rsid w:val="00607C54"/>
    <w:rsid w:val="00617BFA"/>
    <w:rsid w:val="006222E8"/>
    <w:rsid w:val="006275E8"/>
    <w:rsid w:val="00631220"/>
    <w:rsid w:val="00634821"/>
    <w:rsid w:val="00640FC9"/>
    <w:rsid w:val="00641E92"/>
    <w:rsid w:val="00642AFC"/>
    <w:rsid w:val="0064540D"/>
    <w:rsid w:val="0064774A"/>
    <w:rsid w:val="00650986"/>
    <w:rsid w:val="00654F5E"/>
    <w:rsid w:val="00656444"/>
    <w:rsid w:val="006632D6"/>
    <w:rsid w:val="006636FD"/>
    <w:rsid w:val="006653AB"/>
    <w:rsid w:val="00666CF2"/>
    <w:rsid w:val="00671908"/>
    <w:rsid w:val="006765ED"/>
    <w:rsid w:val="00677612"/>
    <w:rsid w:val="006804A5"/>
    <w:rsid w:val="00691CF3"/>
    <w:rsid w:val="0069252A"/>
    <w:rsid w:val="0069665C"/>
    <w:rsid w:val="006A13DD"/>
    <w:rsid w:val="006A3AF4"/>
    <w:rsid w:val="006A4345"/>
    <w:rsid w:val="006A5D36"/>
    <w:rsid w:val="006C36F7"/>
    <w:rsid w:val="006C4638"/>
    <w:rsid w:val="006C54EC"/>
    <w:rsid w:val="006C55B0"/>
    <w:rsid w:val="006C7096"/>
    <w:rsid w:val="006D214E"/>
    <w:rsid w:val="006D6489"/>
    <w:rsid w:val="006E0909"/>
    <w:rsid w:val="006E51C6"/>
    <w:rsid w:val="006E669F"/>
    <w:rsid w:val="006E6D5B"/>
    <w:rsid w:val="006F58A7"/>
    <w:rsid w:val="006F5BEA"/>
    <w:rsid w:val="006F6823"/>
    <w:rsid w:val="006F7929"/>
    <w:rsid w:val="00701A91"/>
    <w:rsid w:val="00703D39"/>
    <w:rsid w:val="007063D4"/>
    <w:rsid w:val="0071079E"/>
    <w:rsid w:val="00715C9D"/>
    <w:rsid w:val="00722952"/>
    <w:rsid w:val="00726148"/>
    <w:rsid w:val="0072659E"/>
    <w:rsid w:val="00731BAC"/>
    <w:rsid w:val="00741898"/>
    <w:rsid w:val="00744111"/>
    <w:rsid w:val="00744416"/>
    <w:rsid w:val="00746473"/>
    <w:rsid w:val="007509ED"/>
    <w:rsid w:val="0076496F"/>
    <w:rsid w:val="007662BC"/>
    <w:rsid w:val="00777F39"/>
    <w:rsid w:val="007948C0"/>
    <w:rsid w:val="00795F94"/>
    <w:rsid w:val="007A2215"/>
    <w:rsid w:val="007A3440"/>
    <w:rsid w:val="007A7308"/>
    <w:rsid w:val="007B0B3A"/>
    <w:rsid w:val="007B1C6F"/>
    <w:rsid w:val="007B3CD4"/>
    <w:rsid w:val="007B5860"/>
    <w:rsid w:val="007B6769"/>
    <w:rsid w:val="007C086C"/>
    <w:rsid w:val="007D1CCC"/>
    <w:rsid w:val="007D4BE4"/>
    <w:rsid w:val="007D558D"/>
    <w:rsid w:val="007E780A"/>
    <w:rsid w:val="007F04A2"/>
    <w:rsid w:val="008004FD"/>
    <w:rsid w:val="00800C2A"/>
    <w:rsid w:val="0080103A"/>
    <w:rsid w:val="0080119E"/>
    <w:rsid w:val="00801325"/>
    <w:rsid w:val="00804C09"/>
    <w:rsid w:val="00812F34"/>
    <w:rsid w:val="00814BCB"/>
    <w:rsid w:val="00815431"/>
    <w:rsid w:val="00815B80"/>
    <w:rsid w:val="00817A80"/>
    <w:rsid w:val="00821B39"/>
    <w:rsid w:val="0082250A"/>
    <w:rsid w:val="0082529C"/>
    <w:rsid w:val="008259C8"/>
    <w:rsid w:val="00825FFE"/>
    <w:rsid w:val="00831365"/>
    <w:rsid w:val="00832456"/>
    <w:rsid w:val="00833703"/>
    <w:rsid w:val="00835BC8"/>
    <w:rsid w:val="008372A7"/>
    <w:rsid w:val="00837B25"/>
    <w:rsid w:val="00837F84"/>
    <w:rsid w:val="00841B3C"/>
    <w:rsid w:val="00841BBC"/>
    <w:rsid w:val="008436BA"/>
    <w:rsid w:val="00846117"/>
    <w:rsid w:val="00846FFC"/>
    <w:rsid w:val="008473BD"/>
    <w:rsid w:val="0085568F"/>
    <w:rsid w:val="00856DDD"/>
    <w:rsid w:val="008672F9"/>
    <w:rsid w:val="00873B45"/>
    <w:rsid w:val="008754F0"/>
    <w:rsid w:val="0088211E"/>
    <w:rsid w:val="0088470F"/>
    <w:rsid w:val="00890ED4"/>
    <w:rsid w:val="008A1E18"/>
    <w:rsid w:val="008A307D"/>
    <w:rsid w:val="008A47A7"/>
    <w:rsid w:val="008A5BB4"/>
    <w:rsid w:val="008A5DDD"/>
    <w:rsid w:val="008A719B"/>
    <w:rsid w:val="008A7E7F"/>
    <w:rsid w:val="008B114C"/>
    <w:rsid w:val="008B50A5"/>
    <w:rsid w:val="008B6E7F"/>
    <w:rsid w:val="008B746A"/>
    <w:rsid w:val="008B7AE7"/>
    <w:rsid w:val="008C3841"/>
    <w:rsid w:val="008C70B8"/>
    <w:rsid w:val="008D192E"/>
    <w:rsid w:val="008D41D2"/>
    <w:rsid w:val="008D4CDF"/>
    <w:rsid w:val="008D530A"/>
    <w:rsid w:val="008E32AB"/>
    <w:rsid w:val="008F45D5"/>
    <w:rsid w:val="008F7798"/>
    <w:rsid w:val="00902606"/>
    <w:rsid w:val="0090306C"/>
    <w:rsid w:val="00903232"/>
    <w:rsid w:val="009036A5"/>
    <w:rsid w:val="009111C8"/>
    <w:rsid w:val="00916744"/>
    <w:rsid w:val="0091674A"/>
    <w:rsid w:val="009214AF"/>
    <w:rsid w:val="0092389C"/>
    <w:rsid w:val="0093710B"/>
    <w:rsid w:val="00937841"/>
    <w:rsid w:val="00943338"/>
    <w:rsid w:val="00943900"/>
    <w:rsid w:val="00943B3D"/>
    <w:rsid w:val="00944F37"/>
    <w:rsid w:val="0094553E"/>
    <w:rsid w:val="00952A20"/>
    <w:rsid w:val="009579F7"/>
    <w:rsid w:val="00961232"/>
    <w:rsid w:val="00965036"/>
    <w:rsid w:val="009661C4"/>
    <w:rsid w:val="00966F37"/>
    <w:rsid w:val="00970D9C"/>
    <w:rsid w:val="00971583"/>
    <w:rsid w:val="00973757"/>
    <w:rsid w:val="009738FC"/>
    <w:rsid w:val="009773F8"/>
    <w:rsid w:val="009825B0"/>
    <w:rsid w:val="00983059"/>
    <w:rsid w:val="00984E27"/>
    <w:rsid w:val="00986AD8"/>
    <w:rsid w:val="00992615"/>
    <w:rsid w:val="009973CE"/>
    <w:rsid w:val="009A1CED"/>
    <w:rsid w:val="009A288F"/>
    <w:rsid w:val="009A3AFF"/>
    <w:rsid w:val="009A6E1F"/>
    <w:rsid w:val="009B4125"/>
    <w:rsid w:val="009C278E"/>
    <w:rsid w:val="009C319C"/>
    <w:rsid w:val="009C5D8F"/>
    <w:rsid w:val="009C64F4"/>
    <w:rsid w:val="009D4E07"/>
    <w:rsid w:val="009D6D0B"/>
    <w:rsid w:val="009D7392"/>
    <w:rsid w:val="009D7EEE"/>
    <w:rsid w:val="009E1145"/>
    <w:rsid w:val="009F0770"/>
    <w:rsid w:val="009F09D4"/>
    <w:rsid w:val="009F7E88"/>
    <w:rsid w:val="00A02D1C"/>
    <w:rsid w:val="00A06124"/>
    <w:rsid w:val="00A14B9C"/>
    <w:rsid w:val="00A16FBB"/>
    <w:rsid w:val="00A25193"/>
    <w:rsid w:val="00A269D9"/>
    <w:rsid w:val="00A278C0"/>
    <w:rsid w:val="00A30D7C"/>
    <w:rsid w:val="00A31CA3"/>
    <w:rsid w:val="00A36471"/>
    <w:rsid w:val="00A36F00"/>
    <w:rsid w:val="00A43473"/>
    <w:rsid w:val="00A434BE"/>
    <w:rsid w:val="00A46DC3"/>
    <w:rsid w:val="00A519DE"/>
    <w:rsid w:val="00A5721D"/>
    <w:rsid w:val="00A60547"/>
    <w:rsid w:val="00A6227E"/>
    <w:rsid w:val="00A63062"/>
    <w:rsid w:val="00A66B8B"/>
    <w:rsid w:val="00A73A50"/>
    <w:rsid w:val="00A75CDE"/>
    <w:rsid w:val="00A815EE"/>
    <w:rsid w:val="00A8622B"/>
    <w:rsid w:val="00A8670E"/>
    <w:rsid w:val="00A87FEF"/>
    <w:rsid w:val="00A924B2"/>
    <w:rsid w:val="00A93B78"/>
    <w:rsid w:val="00A958E8"/>
    <w:rsid w:val="00A95992"/>
    <w:rsid w:val="00A9734B"/>
    <w:rsid w:val="00AA004E"/>
    <w:rsid w:val="00AA2FAE"/>
    <w:rsid w:val="00AA4442"/>
    <w:rsid w:val="00AB0DF1"/>
    <w:rsid w:val="00AB1BBB"/>
    <w:rsid w:val="00AB2804"/>
    <w:rsid w:val="00AB64C6"/>
    <w:rsid w:val="00AB6C32"/>
    <w:rsid w:val="00AC7C95"/>
    <w:rsid w:val="00AD2C0C"/>
    <w:rsid w:val="00AE20B7"/>
    <w:rsid w:val="00AE20F5"/>
    <w:rsid w:val="00AE26D6"/>
    <w:rsid w:val="00AE6E83"/>
    <w:rsid w:val="00AF07C2"/>
    <w:rsid w:val="00AF53CB"/>
    <w:rsid w:val="00B03F05"/>
    <w:rsid w:val="00B041A2"/>
    <w:rsid w:val="00B06F6B"/>
    <w:rsid w:val="00B0775F"/>
    <w:rsid w:val="00B127DF"/>
    <w:rsid w:val="00B13109"/>
    <w:rsid w:val="00B1756D"/>
    <w:rsid w:val="00B32EE4"/>
    <w:rsid w:val="00B331D0"/>
    <w:rsid w:val="00B45091"/>
    <w:rsid w:val="00B468D7"/>
    <w:rsid w:val="00B50CD3"/>
    <w:rsid w:val="00B5645B"/>
    <w:rsid w:val="00B6570C"/>
    <w:rsid w:val="00B70C09"/>
    <w:rsid w:val="00B72300"/>
    <w:rsid w:val="00B73246"/>
    <w:rsid w:val="00B75C8E"/>
    <w:rsid w:val="00B771DC"/>
    <w:rsid w:val="00B7769E"/>
    <w:rsid w:val="00B815EE"/>
    <w:rsid w:val="00B92E7F"/>
    <w:rsid w:val="00B942A2"/>
    <w:rsid w:val="00BA27DC"/>
    <w:rsid w:val="00BA2A2F"/>
    <w:rsid w:val="00BA42FD"/>
    <w:rsid w:val="00BA53CB"/>
    <w:rsid w:val="00BA59B7"/>
    <w:rsid w:val="00BA60B1"/>
    <w:rsid w:val="00BA7CB5"/>
    <w:rsid w:val="00BB25F2"/>
    <w:rsid w:val="00BB4615"/>
    <w:rsid w:val="00BB4ED3"/>
    <w:rsid w:val="00BB5039"/>
    <w:rsid w:val="00BC4D37"/>
    <w:rsid w:val="00BD6545"/>
    <w:rsid w:val="00BD6E23"/>
    <w:rsid w:val="00BE22AA"/>
    <w:rsid w:val="00BE3680"/>
    <w:rsid w:val="00BE7721"/>
    <w:rsid w:val="00BF1491"/>
    <w:rsid w:val="00BF20C0"/>
    <w:rsid w:val="00BF3D12"/>
    <w:rsid w:val="00C04667"/>
    <w:rsid w:val="00C059E6"/>
    <w:rsid w:val="00C05F23"/>
    <w:rsid w:val="00C06BEB"/>
    <w:rsid w:val="00C15304"/>
    <w:rsid w:val="00C221D8"/>
    <w:rsid w:val="00C34797"/>
    <w:rsid w:val="00C47DF4"/>
    <w:rsid w:val="00C55C22"/>
    <w:rsid w:val="00C55D68"/>
    <w:rsid w:val="00C55DDD"/>
    <w:rsid w:val="00C6397F"/>
    <w:rsid w:val="00C647DF"/>
    <w:rsid w:val="00C649EE"/>
    <w:rsid w:val="00C671FA"/>
    <w:rsid w:val="00C71669"/>
    <w:rsid w:val="00C72744"/>
    <w:rsid w:val="00C72FA7"/>
    <w:rsid w:val="00C733C3"/>
    <w:rsid w:val="00C7351F"/>
    <w:rsid w:val="00C74D4E"/>
    <w:rsid w:val="00C8062A"/>
    <w:rsid w:val="00C827AB"/>
    <w:rsid w:val="00C837C7"/>
    <w:rsid w:val="00C84B4C"/>
    <w:rsid w:val="00C85555"/>
    <w:rsid w:val="00C91FCE"/>
    <w:rsid w:val="00CA0B55"/>
    <w:rsid w:val="00CA0F3D"/>
    <w:rsid w:val="00CA4BA2"/>
    <w:rsid w:val="00CB039D"/>
    <w:rsid w:val="00CC4D01"/>
    <w:rsid w:val="00CC7FD4"/>
    <w:rsid w:val="00CD523F"/>
    <w:rsid w:val="00CD605E"/>
    <w:rsid w:val="00CD7817"/>
    <w:rsid w:val="00CE27B6"/>
    <w:rsid w:val="00CF29E7"/>
    <w:rsid w:val="00CF642B"/>
    <w:rsid w:val="00D03A54"/>
    <w:rsid w:val="00D045A5"/>
    <w:rsid w:val="00D058B7"/>
    <w:rsid w:val="00D06302"/>
    <w:rsid w:val="00D10161"/>
    <w:rsid w:val="00D156D6"/>
    <w:rsid w:val="00D25B45"/>
    <w:rsid w:val="00D262AF"/>
    <w:rsid w:val="00D32A92"/>
    <w:rsid w:val="00D345A8"/>
    <w:rsid w:val="00D35F6C"/>
    <w:rsid w:val="00D42ED2"/>
    <w:rsid w:val="00D43513"/>
    <w:rsid w:val="00D51C24"/>
    <w:rsid w:val="00D51F2A"/>
    <w:rsid w:val="00D537A9"/>
    <w:rsid w:val="00D55753"/>
    <w:rsid w:val="00D56DE4"/>
    <w:rsid w:val="00D57276"/>
    <w:rsid w:val="00D575A4"/>
    <w:rsid w:val="00D5772F"/>
    <w:rsid w:val="00D640EE"/>
    <w:rsid w:val="00D70E8A"/>
    <w:rsid w:val="00D717AC"/>
    <w:rsid w:val="00D71A77"/>
    <w:rsid w:val="00D7253B"/>
    <w:rsid w:val="00D72D8D"/>
    <w:rsid w:val="00D75F17"/>
    <w:rsid w:val="00D80BEA"/>
    <w:rsid w:val="00D80E7B"/>
    <w:rsid w:val="00D90E94"/>
    <w:rsid w:val="00D93191"/>
    <w:rsid w:val="00D93AE8"/>
    <w:rsid w:val="00D95ADB"/>
    <w:rsid w:val="00D97050"/>
    <w:rsid w:val="00D971BA"/>
    <w:rsid w:val="00DA2D0F"/>
    <w:rsid w:val="00DA4281"/>
    <w:rsid w:val="00DA71C5"/>
    <w:rsid w:val="00DB0135"/>
    <w:rsid w:val="00DB3C56"/>
    <w:rsid w:val="00DB4314"/>
    <w:rsid w:val="00DC021C"/>
    <w:rsid w:val="00DC404A"/>
    <w:rsid w:val="00DC491A"/>
    <w:rsid w:val="00DC50BB"/>
    <w:rsid w:val="00DC68B0"/>
    <w:rsid w:val="00DC6D7A"/>
    <w:rsid w:val="00DD17DA"/>
    <w:rsid w:val="00DD1A87"/>
    <w:rsid w:val="00DD26A1"/>
    <w:rsid w:val="00DD6C3A"/>
    <w:rsid w:val="00DE0262"/>
    <w:rsid w:val="00DE3E84"/>
    <w:rsid w:val="00DF08C4"/>
    <w:rsid w:val="00DF5E17"/>
    <w:rsid w:val="00DF6B28"/>
    <w:rsid w:val="00DF710E"/>
    <w:rsid w:val="00DF72D3"/>
    <w:rsid w:val="00DF7B5A"/>
    <w:rsid w:val="00E019C4"/>
    <w:rsid w:val="00E05553"/>
    <w:rsid w:val="00E07B2D"/>
    <w:rsid w:val="00E07DFC"/>
    <w:rsid w:val="00E10815"/>
    <w:rsid w:val="00E118DE"/>
    <w:rsid w:val="00E12B20"/>
    <w:rsid w:val="00E345F2"/>
    <w:rsid w:val="00E37342"/>
    <w:rsid w:val="00E402D1"/>
    <w:rsid w:val="00E4223F"/>
    <w:rsid w:val="00E436D5"/>
    <w:rsid w:val="00E46A62"/>
    <w:rsid w:val="00E47AC1"/>
    <w:rsid w:val="00E53D12"/>
    <w:rsid w:val="00E549D3"/>
    <w:rsid w:val="00E55F7E"/>
    <w:rsid w:val="00E5669C"/>
    <w:rsid w:val="00E63C03"/>
    <w:rsid w:val="00E64CEA"/>
    <w:rsid w:val="00E64EE2"/>
    <w:rsid w:val="00E6653C"/>
    <w:rsid w:val="00E66602"/>
    <w:rsid w:val="00E735FC"/>
    <w:rsid w:val="00E77A36"/>
    <w:rsid w:val="00E77BA5"/>
    <w:rsid w:val="00E87276"/>
    <w:rsid w:val="00E94F63"/>
    <w:rsid w:val="00EB14D4"/>
    <w:rsid w:val="00EB1E08"/>
    <w:rsid w:val="00EB3351"/>
    <w:rsid w:val="00EB5568"/>
    <w:rsid w:val="00EC2EF7"/>
    <w:rsid w:val="00EC4DEC"/>
    <w:rsid w:val="00EC5861"/>
    <w:rsid w:val="00EC5CD6"/>
    <w:rsid w:val="00ED1BC6"/>
    <w:rsid w:val="00ED1BD6"/>
    <w:rsid w:val="00ED3EDF"/>
    <w:rsid w:val="00ED7A2C"/>
    <w:rsid w:val="00EE15FF"/>
    <w:rsid w:val="00EE2376"/>
    <w:rsid w:val="00EE2CE5"/>
    <w:rsid w:val="00EE6B5C"/>
    <w:rsid w:val="00EF6309"/>
    <w:rsid w:val="00F00551"/>
    <w:rsid w:val="00F01A81"/>
    <w:rsid w:val="00F030A6"/>
    <w:rsid w:val="00F03C51"/>
    <w:rsid w:val="00F117DF"/>
    <w:rsid w:val="00F13FA6"/>
    <w:rsid w:val="00F20C00"/>
    <w:rsid w:val="00F21510"/>
    <w:rsid w:val="00F2378D"/>
    <w:rsid w:val="00F24420"/>
    <w:rsid w:val="00F2754E"/>
    <w:rsid w:val="00F36730"/>
    <w:rsid w:val="00F44C21"/>
    <w:rsid w:val="00F522AE"/>
    <w:rsid w:val="00F576A7"/>
    <w:rsid w:val="00F61D76"/>
    <w:rsid w:val="00F630F1"/>
    <w:rsid w:val="00F674E4"/>
    <w:rsid w:val="00F67E76"/>
    <w:rsid w:val="00F70F0B"/>
    <w:rsid w:val="00F720AA"/>
    <w:rsid w:val="00F72580"/>
    <w:rsid w:val="00F727A4"/>
    <w:rsid w:val="00F7633A"/>
    <w:rsid w:val="00F76944"/>
    <w:rsid w:val="00F77A88"/>
    <w:rsid w:val="00F8168F"/>
    <w:rsid w:val="00F91E08"/>
    <w:rsid w:val="00FA0CC7"/>
    <w:rsid w:val="00FB15F9"/>
    <w:rsid w:val="00FB2720"/>
    <w:rsid w:val="00FB2EF9"/>
    <w:rsid w:val="00FB3443"/>
    <w:rsid w:val="00FB3A70"/>
    <w:rsid w:val="00FB48B7"/>
    <w:rsid w:val="00FB5DB6"/>
    <w:rsid w:val="00FC2697"/>
    <w:rsid w:val="00FD0B7F"/>
    <w:rsid w:val="00FE35C5"/>
    <w:rsid w:val="00FF0240"/>
    <w:rsid w:val="00FF18BB"/>
    <w:rsid w:val="00FF24A7"/>
    <w:rsid w:val="00FF69E6"/>
    <w:rsid w:val="0451320B"/>
    <w:rsid w:val="06330F0D"/>
    <w:rsid w:val="063C6C22"/>
    <w:rsid w:val="08D26611"/>
    <w:rsid w:val="0A182F21"/>
    <w:rsid w:val="0BDD6ABF"/>
    <w:rsid w:val="0D961CE3"/>
    <w:rsid w:val="0F6F3801"/>
    <w:rsid w:val="11EC6079"/>
    <w:rsid w:val="17C826CF"/>
    <w:rsid w:val="1A0C2B31"/>
    <w:rsid w:val="1AAB6192"/>
    <w:rsid w:val="1D3441AD"/>
    <w:rsid w:val="1E0A542F"/>
    <w:rsid w:val="1E154869"/>
    <w:rsid w:val="218C3245"/>
    <w:rsid w:val="230C6086"/>
    <w:rsid w:val="25D0005A"/>
    <w:rsid w:val="275A2800"/>
    <w:rsid w:val="2861099C"/>
    <w:rsid w:val="29A537D3"/>
    <w:rsid w:val="2CC667B4"/>
    <w:rsid w:val="2D65471E"/>
    <w:rsid w:val="31094F86"/>
    <w:rsid w:val="315E53F1"/>
    <w:rsid w:val="31742416"/>
    <w:rsid w:val="34FB0184"/>
    <w:rsid w:val="35F94BD9"/>
    <w:rsid w:val="3A351AE4"/>
    <w:rsid w:val="3AC10DCA"/>
    <w:rsid w:val="3E033D41"/>
    <w:rsid w:val="3E13415B"/>
    <w:rsid w:val="3E305A88"/>
    <w:rsid w:val="3F0B3754"/>
    <w:rsid w:val="426E72D4"/>
    <w:rsid w:val="46FE425B"/>
    <w:rsid w:val="48607EE0"/>
    <w:rsid w:val="4A7071C9"/>
    <w:rsid w:val="4A890A35"/>
    <w:rsid w:val="4E8E46E8"/>
    <w:rsid w:val="4EA776B8"/>
    <w:rsid w:val="4F81427E"/>
    <w:rsid w:val="529A5BB7"/>
    <w:rsid w:val="533B66BA"/>
    <w:rsid w:val="58606BE2"/>
    <w:rsid w:val="5BE031F9"/>
    <w:rsid w:val="5F7440B3"/>
    <w:rsid w:val="62D63F74"/>
    <w:rsid w:val="65C00441"/>
    <w:rsid w:val="662C0A9E"/>
    <w:rsid w:val="66BA6238"/>
    <w:rsid w:val="67C52D84"/>
    <w:rsid w:val="68E85F3A"/>
    <w:rsid w:val="69CA32DB"/>
    <w:rsid w:val="6A0A50F6"/>
    <w:rsid w:val="6F037697"/>
    <w:rsid w:val="7097436A"/>
    <w:rsid w:val="710253DF"/>
    <w:rsid w:val="71794820"/>
    <w:rsid w:val="75647E77"/>
    <w:rsid w:val="7613245A"/>
    <w:rsid w:val="779921C4"/>
    <w:rsid w:val="791E2671"/>
    <w:rsid w:val="799267AD"/>
    <w:rsid w:val="7C075F22"/>
    <w:rsid w:val="7C4E27AE"/>
    <w:rsid w:val="7C981597"/>
    <w:rsid w:val="7D456EAD"/>
    <w:rsid w:val="7D7B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2"/>
      <w:szCs w:val="22"/>
      <w:lang w:val="en-US" w:eastAsia="zh-CN" w:bidi="ar-SA"/>
    </w:rPr>
  </w:style>
  <w:style w:type="paragraph" w:styleId="2">
    <w:name w:val="heading 1"/>
    <w:basedOn w:val="1"/>
    <w:next w:val="1"/>
    <w:link w:val="23"/>
    <w:qFormat/>
    <w:uiPriority w:val="9"/>
    <w:pPr>
      <w:keepNext/>
      <w:keepLines/>
      <w:outlineLvl w:val="0"/>
    </w:pPr>
    <w:rPr>
      <w:rFonts w:eastAsia="黑体"/>
      <w:bCs/>
      <w:kern w:val="44"/>
      <w:szCs w:val="44"/>
    </w:rPr>
  </w:style>
  <w:style w:type="paragraph" w:styleId="3">
    <w:name w:val="heading 2"/>
    <w:basedOn w:val="1"/>
    <w:next w:val="1"/>
    <w:link w:val="24"/>
    <w:unhideWhenUsed/>
    <w:qFormat/>
    <w:uiPriority w:val="9"/>
    <w:pPr>
      <w:keepNext/>
      <w:keepLines/>
      <w:outlineLvl w:val="1"/>
    </w:pPr>
    <w:rPr>
      <w:rFonts w:eastAsia="楷体_GB2312" w:cstheme="majorBidi"/>
      <w:b/>
      <w:bCs/>
      <w:szCs w:val="32"/>
    </w:rPr>
  </w:style>
  <w:style w:type="paragraph" w:styleId="4">
    <w:name w:val="heading 3"/>
    <w:basedOn w:val="1"/>
    <w:next w:val="1"/>
    <w:link w:val="26"/>
    <w:unhideWhenUsed/>
    <w:qFormat/>
    <w:uiPriority w:val="9"/>
    <w:pPr>
      <w:keepNext/>
      <w:keepLines/>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pPr>
      <w:ind w:firstLine="0" w:firstLineChars="0"/>
      <w:jc w:val="center"/>
    </w:pPr>
    <w:rPr>
      <w:rFonts w:eastAsia="黑体" w:asciiTheme="majorHAnsi" w:hAnsiTheme="majorHAnsi" w:cstheme="majorBidi"/>
      <w:sz w:val="28"/>
      <w:szCs w:val="20"/>
    </w:rPr>
  </w:style>
  <w:style w:type="paragraph" w:styleId="6">
    <w:name w:val="annotation text"/>
    <w:basedOn w:val="1"/>
    <w:link w:val="30"/>
    <w:unhideWhenUsed/>
    <w:qFormat/>
    <w:uiPriority w:val="99"/>
    <w:pPr>
      <w:jc w:val="left"/>
    </w:pPr>
  </w:style>
  <w:style w:type="paragraph" w:styleId="7">
    <w:name w:val="toc 3"/>
    <w:basedOn w:val="1"/>
    <w:next w:val="1"/>
    <w:unhideWhenUsed/>
    <w:qFormat/>
    <w:uiPriority w:val="39"/>
  </w:style>
  <w:style w:type="paragraph" w:styleId="8">
    <w:name w:val="Date"/>
    <w:basedOn w:val="1"/>
    <w:next w:val="1"/>
    <w:link w:val="27"/>
    <w:unhideWhenUsed/>
    <w:qFormat/>
    <w:uiPriority w:val="99"/>
    <w:pPr>
      <w:ind w:left="100" w:leftChars="2500"/>
    </w:pPr>
  </w:style>
  <w:style w:type="paragraph" w:styleId="9">
    <w:name w:val="Balloon Text"/>
    <w:basedOn w:val="1"/>
    <w:link w:val="32"/>
    <w:unhideWhenUsed/>
    <w:qFormat/>
    <w:uiPriority w:val="99"/>
    <w:pPr>
      <w:spacing w:line="240" w:lineRule="auto"/>
    </w:pPr>
    <w:rPr>
      <w:sz w:val="18"/>
      <w:szCs w:val="18"/>
    </w:rPr>
  </w:style>
  <w:style w:type="paragraph" w:styleId="10">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947"/>
      </w:tabs>
      <w:ind w:firstLine="0" w:firstLineChars="0"/>
      <w:jc w:val="left"/>
    </w:pPr>
    <w:rPr>
      <w:rFonts w:eastAsia="黑体"/>
      <w:szCs w:val="44"/>
    </w:rPr>
  </w:style>
  <w:style w:type="paragraph" w:styleId="13">
    <w:name w:val="toc 2"/>
    <w:basedOn w:val="1"/>
    <w:next w:val="1"/>
    <w:unhideWhenUsed/>
    <w:qFormat/>
    <w:uiPriority w:val="39"/>
    <w:pPr>
      <w:jc w:val="left"/>
    </w:pPr>
    <w:rPr>
      <w:rFonts w:eastAsia="楷体_GB2312"/>
    </w:rPr>
  </w:style>
  <w:style w:type="paragraph" w:styleId="14">
    <w:name w:val="toc 9"/>
    <w:basedOn w:val="1"/>
    <w:next w:val="1"/>
    <w:unhideWhenUsed/>
    <w:qFormat/>
    <w:uiPriority w:val="39"/>
    <w:pPr>
      <w:ind w:left="3360" w:leftChars="1600"/>
    </w:pPr>
  </w:style>
  <w:style w:type="paragraph" w:styleId="15">
    <w:name w:val="Normal (Web)"/>
    <w:basedOn w:val="1"/>
    <w:unhideWhenUsed/>
    <w:qFormat/>
    <w:uiPriority w:val="99"/>
    <w:rPr>
      <w:sz w:val="24"/>
    </w:rPr>
  </w:style>
  <w:style w:type="paragraph" w:styleId="16">
    <w:name w:val="Title"/>
    <w:basedOn w:val="1"/>
    <w:next w:val="1"/>
    <w:link w:val="25"/>
    <w:qFormat/>
    <w:uiPriority w:val="10"/>
    <w:pPr>
      <w:spacing w:before="240" w:after="60"/>
      <w:jc w:val="center"/>
      <w:outlineLvl w:val="0"/>
    </w:pPr>
    <w:rPr>
      <w:rFonts w:eastAsia="宋体" w:asciiTheme="majorHAnsi" w:hAnsiTheme="majorHAnsi" w:cstheme="majorBidi"/>
      <w:b/>
      <w:bCs/>
      <w:szCs w:val="32"/>
    </w:rPr>
  </w:style>
  <w:style w:type="paragraph" w:styleId="17">
    <w:name w:val="annotation subject"/>
    <w:basedOn w:val="6"/>
    <w:next w:val="6"/>
    <w:link w:val="31"/>
    <w:unhideWhenUsed/>
    <w:qFormat/>
    <w:uiPriority w:val="99"/>
    <w:rPr>
      <w:b/>
      <w:bCs/>
    </w:rPr>
  </w:style>
  <w:style w:type="table" w:styleId="19">
    <w:name w:val="Table Grid"/>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标题 1 Char"/>
    <w:basedOn w:val="20"/>
    <w:link w:val="2"/>
    <w:qFormat/>
    <w:uiPriority w:val="9"/>
    <w:rPr>
      <w:rFonts w:eastAsia="黑体"/>
      <w:bCs/>
      <w:kern w:val="44"/>
      <w:sz w:val="32"/>
      <w:szCs w:val="44"/>
    </w:rPr>
  </w:style>
  <w:style w:type="character" w:customStyle="1" w:styleId="24">
    <w:name w:val="标题 2 Char"/>
    <w:basedOn w:val="20"/>
    <w:link w:val="3"/>
    <w:qFormat/>
    <w:uiPriority w:val="9"/>
    <w:rPr>
      <w:rFonts w:ascii="仿宋_GB2312" w:hAnsi="仿宋_GB2312" w:eastAsia="楷体_GB2312" w:cstheme="majorBidi"/>
      <w:b/>
      <w:bCs/>
      <w:kern w:val="2"/>
      <w:sz w:val="32"/>
      <w:szCs w:val="32"/>
    </w:rPr>
  </w:style>
  <w:style w:type="character" w:customStyle="1" w:styleId="25">
    <w:name w:val="标题 Char"/>
    <w:basedOn w:val="20"/>
    <w:link w:val="16"/>
    <w:qFormat/>
    <w:uiPriority w:val="10"/>
    <w:rPr>
      <w:rFonts w:eastAsia="宋体" w:asciiTheme="majorHAnsi" w:hAnsiTheme="majorHAnsi" w:cstheme="majorBidi"/>
      <w:b/>
      <w:bCs/>
      <w:sz w:val="32"/>
      <w:szCs w:val="32"/>
    </w:rPr>
  </w:style>
  <w:style w:type="character" w:customStyle="1" w:styleId="26">
    <w:name w:val="标题 3 Char"/>
    <w:basedOn w:val="20"/>
    <w:link w:val="4"/>
    <w:qFormat/>
    <w:uiPriority w:val="9"/>
    <w:rPr>
      <w:rFonts w:eastAsia="仿宋_GB2312" w:asciiTheme="minorHAnsi" w:hAnsiTheme="minorHAnsi" w:cstheme="minorBidi"/>
      <w:b/>
      <w:bCs/>
      <w:kern w:val="2"/>
      <w:sz w:val="32"/>
      <w:szCs w:val="32"/>
    </w:rPr>
  </w:style>
  <w:style w:type="character" w:customStyle="1" w:styleId="27">
    <w:name w:val="日期 Char"/>
    <w:basedOn w:val="20"/>
    <w:link w:val="8"/>
    <w:semiHidden/>
    <w:qFormat/>
    <w:uiPriority w:val="99"/>
    <w:rPr>
      <w:rFonts w:eastAsia="仿宋_GB2312"/>
      <w:sz w:val="32"/>
    </w:rPr>
  </w:style>
  <w:style w:type="character" w:customStyle="1" w:styleId="28">
    <w:name w:val="页眉 Char"/>
    <w:basedOn w:val="20"/>
    <w:link w:val="11"/>
    <w:qFormat/>
    <w:uiPriority w:val="99"/>
    <w:rPr>
      <w:rFonts w:eastAsia="仿宋_GB2312"/>
      <w:sz w:val="18"/>
      <w:szCs w:val="18"/>
    </w:rPr>
  </w:style>
  <w:style w:type="character" w:customStyle="1" w:styleId="29">
    <w:name w:val="页脚 Char"/>
    <w:basedOn w:val="20"/>
    <w:link w:val="10"/>
    <w:qFormat/>
    <w:uiPriority w:val="99"/>
    <w:rPr>
      <w:rFonts w:eastAsia="仿宋_GB2312"/>
      <w:sz w:val="18"/>
      <w:szCs w:val="18"/>
    </w:rPr>
  </w:style>
  <w:style w:type="character" w:customStyle="1" w:styleId="30">
    <w:name w:val="批注文字 Char"/>
    <w:basedOn w:val="20"/>
    <w:link w:val="6"/>
    <w:semiHidden/>
    <w:qFormat/>
    <w:uiPriority w:val="99"/>
    <w:rPr>
      <w:rFonts w:eastAsia="仿宋_GB2312"/>
      <w:sz w:val="32"/>
    </w:rPr>
  </w:style>
  <w:style w:type="character" w:customStyle="1" w:styleId="31">
    <w:name w:val="批注主题 Char"/>
    <w:basedOn w:val="30"/>
    <w:link w:val="17"/>
    <w:semiHidden/>
    <w:qFormat/>
    <w:uiPriority w:val="99"/>
    <w:rPr>
      <w:rFonts w:eastAsia="仿宋_GB2312"/>
      <w:b/>
      <w:bCs/>
      <w:sz w:val="32"/>
    </w:rPr>
  </w:style>
  <w:style w:type="character" w:customStyle="1" w:styleId="32">
    <w:name w:val="批注框文本 Char"/>
    <w:basedOn w:val="20"/>
    <w:link w:val="9"/>
    <w:semiHidden/>
    <w:qFormat/>
    <w:uiPriority w:val="99"/>
    <w:rPr>
      <w:rFonts w:eastAsia="仿宋_GB2312"/>
      <w:sz w:val="18"/>
      <w:szCs w:val="18"/>
    </w:rPr>
  </w:style>
  <w:style w:type="paragraph" w:customStyle="1" w:styleId="33">
    <w:name w:val="p1"/>
    <w:basedOn w:val="1"/>
    <w:qFormat/>
    <w:uiPriority w:val="0"/>
    <w:pPr>
      <w:jc w:val="left"/>
    </w:pPr>
    <w:rPr>
      <w:rFonts w:cs="Times New Roman"/>
      <w:kern w:val="0"/>
    </w:rPr>
  </w:style>
  <w:style w:type="character" w:customStyle="1" w:styleId="34">
    <w:name w:val="s1"/>
    <w:basedOn w:val="20"/>
    <w:qFormat/>
    <w:uiPriority w:val="0"/>
    <w:rPr>
      <w:rFonts w:ascii="Helvetica" w:hAnsi="Helvetica" w:eastAsia="Helvetica" w:cs="Helvetica"/>
      <w:sz w:val="24"/>
      <w:szCs w:val="24"/>
    </w:rPr>
  </w:style>
  <w:style w:type="paragraph" w:customStyle="1" w:styleId="35">
    <w:name w:val="列出段落1"/>
    <w:basedOn w:val="1"/>
    <w:qFormat/>
    <w:uiPriority w:val="99"/>
    <w:pPr>
      <w:ind w:firstLine="420"/>
    </w:pPr>
  </w:style>
  <w:style w:type="character" w:customStyle="1" w:styleId="36">
    <w:name w:val="font41"/>
    <w:basedOn w:val="20"/>
    <w:qFormat/>
    <w:uiPriority w:val="0"/>
    <w:rPr>
      <w:rFonts w:hint="eastAsia" w:ascii="宋体" w:hAnsi="宋体" w:eastAsia="宋体"/>
      <w:color w:val="000000"/>
      <w:sz w:val="22"/>
      <w:szCs w:val="22"/>
      <w:u w:val="none"/>
    </w:rPr>
  </w:style>
  <w:style w:type="character" w:customStyle="1" w:styleId="37">
    <w:name w:val="font81"/>
    <w:basedOn w:val="20"/>
    <w:qFormat/>
    <w:uiPriority w:val="0"/>
    <w:rPr>
      <w:rFonts w:hint="eastAsia" w:ascii="宋体" w:hAnsi="宋体" w:eastAsia="宋体"/>
      <w:color w:val="000000"/>
      <w:sz w:val="22"/>
      <w:szCs w:val="22"/>
      <w:u w:val="none"/>
    </w:rPr>
  </w:style>
  <w:style w:type="character" w:customStyle="1" w:styleId="38">
    <w:name w:val="font51"/>
    <w:basedOn w:val="20"/>
    <w:qFormat/>
    <w:uiPriority w:val="0"/>
    <w:rPr>
      <w:rFonts w:hint="eastAsia" w:ascii="宋体" w:hAnsi="宋体" w:eastAsia="宋体"/>
      <w:color w:val="FF0000"/>
      <w:sz w:val="22"/>
      <w:szCs w:val="22"/>
      <w:u w:val="none"/>
    </w:rPr>
  </w:style>
  <w:style w:type="character" w:customStyle="1" w:styleId="39">
    <w:name w:val="font61"/>
    <w:basedOn w:val="20"/>
    <w:qFormat/>
    <w:uiPriority w:val="0"/>
    <w:rPr>
      <w:rFonts w:hint="eastAsia" w:ascii="宋体" w:hAnsi="宋体" w:eastAsia="宋体"/>
      <w:color w:val="000000"/>
      <w:sz w:val="22"/>
      <w:szCs w:val="22"/>
      <w:u w:val="none"/>
    </w:rPr>
  </w:style>
  <w:style w:type="character" w:customStyle="1" w:styleId="40">
    <w:name w:val="font101"/>
    <w:basedOn w:val="20"/>
    <w:qFormat/>
    <w:uiPriority w:val="0"/>
    <w:rPr>
      <w:rFonts w:hint="eastAsia" w:ascii="宋体" w:hAnsi="宋体" w:eastAsia="宋体"/>
      <w:color w:val="FF0000"/>
      <w:sz w:val="22"/>
      <w:szCs w:val="22"/>
      <w:u w:val="none"/>
    </w:rPr>
  </w:style>
  <w:style w:type="character" w:customStyle="1" w:styleId="41">
    <w:name w:val="font71"/>
    <w:basedOn w:val="20"/>
    <w:qFormat/>
    <w:uiPriority w:val="0"/>
    <w:rPr>
      <w:rFonts w:hint="eastAsia" w:ascii="仿宋_GB2312" w:eastAsia="仿宋_GB2312"/>
      <w:color w:val="000000"/>
      <w:sz w:val="22"/>
      <w:szCs w:val="22"/>
      <w:u w:val="none"/>
    </w:rPr>
  </w:style>
  <w:style w:type="character" w:customStyle="1" w:styleId="42">
    <w:name w:val="font11"/>
    <w:basedOn w:val="20"/>
    <w:qFormat/>
    <w:uiPriority w:val="0"/>
    <w:rPr>
      <w:rFonts w:hint="default" w:ascii="Times New Roman" w:hAnsi="Times New Roman" w:cs="Times New Roman"/>
      <w:color w:val="000000"/>
      <w:sz w:val="22"/>
      <w:szCs w:val="22"/>
      <w:u w:val="none"/>
    </w:rPr>
  </w:style>
  <w:style w:type="character" w:customStyle="1" w:styleId="43">
    <w:name w:val="font91"/>
    <w:basedOn w:val="20"/>
    <w:qFormat/>
    <w:uiPriority w:val="0"/>
    <w:rPr>
      <w:rFonts w:hint="eastAsia" w:ascii="仿宋_GB2312" w:eastAsia="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0FF61-35FB-4A24-B754-A8AFD80162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184</Words>
  <Characters>188</Characters>
  <Lines>281</Lines>
  <Paragraphs>79</Paragraphs>
  <TotalTime>73</TotalTime>
  <ScaleCrop>false</ScaleCrop>
  <LinksUpToDate>false</LinksUpToDate>
  <CharactersWithSpaces>191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2021-09-23T07:40:00Z</dcterms:created>
  <dc:creator>wenlu</dc:creator>
  <cp:lastModifiedBy>Administrator</cp:lastModifiedBy>
  <cp:lastPrinted>2025-01-09T02:29:00Z</cp:lastPrinted>
  <dcterms:modified xsi:type="dcterms:W3CDTF">2025-01-10T09:05:50Z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B050A42A07074F0492428B8B28D2D4DC_12</vt:lpwstr>
  </property>
</Properties>
</file>