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jc w:val="center"/>
        <w:rPr>
          <w:rFonts w:ascii="方正小标宋_GBK" w:eastAsia="方正小标宋_GBK"/>
          <w:sz w:val="52"/>
          <w:szCs w:val="52"/>
        </w:rPr>
      </w:pPr>
    </w:p>
    <w:p>
      <w:pPr>
        <w:adjustRightInd w:val="0"/>
        <w:snapToGrid w:val="0"/>
        <w:spacing w:line="240" w:lineRule="auto"/>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潮州市潮安区供销合作社联合社</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w:t>
      </w:r>
    </w:p>
    <w:p>
      <w:pPr>
        <w:adjustRightInd w:val="0"/>
        <w:snapToGrid w:val="0"/>
        <w:spacing w:line="240" w:lineRule="auto"/>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部门整体支出绩效评价报告</w:t>
      </w:r>
    </w:p>
    <w:p>
      <w:pPr>
        <w:adjustRightInd w:val="0"/>
        <w:snapToGrid w:val="0"/>
        <w:spacing w:line="240" w:lineRule="auto"/>
        <w:ind w:firstLine="0" w:firstLineChars="0"/>
        <w:jc w:val="center"/>
        <w:rPr>
          <w:rFonts w:hint="eastAsia" w:ascii="方正小标宋_GBK" w:hAnsi="方正小标宋_GBK" w:eastAsia="方正小标宋_GBK" w:cs="方正小标宋_GBK"/>
          <w:sz w:val="44"/>
          <w:szCs w:val="44"/>
          <w:lang w:eastAsia="zh-CN"/>
        </w:rPr>
      </w:pPr>
    </w:p>
    <w:p>
      <w:pPr>
        <w:ind w:firstLine="0" w:firstLineChars="0"/>
        <w:jc w:val="center"/>
        <w:rPr>
          <w:rFonts w:ascii="Times New Roman" w:hAnsi="Times New Roman" w:eastAsia="方正小标宋简体" w:cs="Times New Roman"/>
          <w:sz w:val="44"/>
          <w:szCs w:val="44"/>
        </w:rPr>
      </w:pPr>
    </w:p>
    <w:p>
      <w:pPr>
        <w:ind w:firstLine="0" w:firstLineChars="0"/>
        <w:jc w:val="center"/>
        <w:rPr>
          <w:rFonts w:ascii="Times New Roman" w:hAnsi="Times New Roman" w:eastAsia="方正小标宋简体" w:cs="Times New Roman"/>
          <w:sz w:val="44"/>
          <w:szCs w:val="44"/>
        </w:rPr>
      </w:pPr>
    </w:p>
    <w:p>
      <w:pPr>
        <w:ind w:firstLine="998" w:firstLineChars="312"/>
        <w:jc w:val="left"/>
        <w:rPr>
          <w:rFonts w:ascii="Times New Roman" w:hAnsi="Times New Roman"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41" w:right="1418" w:bottom="1418" w:left="1531" w:header="851" w:footer="992" w:gutter="0"/>
          <w:cols w:space="425" w:num="1"/>
          <w:docGrid w:type="lines" w:linePitch="312" w:charSpace="0"/>
        </w:sectPr>
      </w:pPr>
    </w:p>
    <w:p>
      <w:pPr>
        <w:pStyle w:val="2"/>
        <w:pageBreakBefore w:val="0"/>
        <w:kinsoku/>
        <w:wordWrap/>
        <w:overflowPunct/>
        <w:topLinePunct w:val="0"/>
        <w:autoSpaceDE/>
        <w:autoSpaceDN/>
        <w:bidi w:val="0"/>
        <w:spacing w:line="570" w:lineRule="exact"/>
        <w:ind w:firstLine="640"/>
        <w:jc w:val="both"/>
      </w:pPr>
      <w:bookmarkStart w:id="0" w:name="_Toc12823495"/>
      <w:bookmarkStart w:id="1" w:name="_Toc12527740"/>
      <w:bookmarkStart w:id="2" w:name="_Toc17998"/>
      <w:bookmarkStart w:id="3" w:name="_Toc32444"/>
      <w:r>
        <w:rPr>
          <w:rFonts w:hint="eastAsia"/>
        </w:rPr>
        <w:t>一、评价部门概要</w:t>
      </w:r>
      <w:bookmarkEnd w:id="0"/>
      <w:bookmarkEnd w:id="1"/>
      <w:bookmarkEnd w:id="2"/>
      <w:bookmarkEnd w:id="3"/>
    </w:p>
    <w:p>
      <w:pPr>
        <w:pageBreakBefore w:val="0"/>
        <w:kinsoku/>
        <w:wordWrap/>
        <w:overflowPunct/>
        <w:topLinePunct w:val="0"/>
        <w:autoSpaceDE/>
        <w:autoSpaceDN/>
        <w:bidi w:val="0"/>
        <w:spacing w:line="570" w:lineRule="exact"/>
        <w:ind w:firstLine="640"/>
        <w:jc w:val="both"/>
        <w:rPr>
          <w:rFonts w:hint="eastAsia"/>
        </w:rPr>
      </w:pPr>
      <w:bookmarkStart w:id="4" w:name="_Toc12527741"/>
      <w:bookmarkStart w:id="5" w:name="_Toc16724"/>
      <w:r>
        <w:rPr>
          <w:rFonts w:hint="eastAsia"/>
        </w:rPr>
        <w:t>潮州市</w:t>
      </w:r>
      <w:r>
        <w:rPr>
          <w:rFonts w:hint="eastAsia"/>
          <w:lang w:val="en-US" w:eastAsia="zh-CN"/>
        </w:rPr>
        <w:t>潮安区供销合作社联合社（以下简称区供销社）是区人民政府直属事业单位，是全区供销合作社的联合组织，依照公务员管理，</w:t>
      </w:r>
      <w:r>
        <w:t>主要</w:t>
      </w:r>
      <w:r>
        <w:rPr>
          <w:rFonts w:hint="eastAsia"/>
        </w:rPr>
        <w:t>承担贯彻执行国家有关</w:t>
      </w:r>
      <w:r>
        <w:rPr>
          <w:rFonts w:hint="eastAsia"/>
          <w:lang w:val="en-US" w:eastAsia="zh-CN"/>
        </w:rPr>
        <w:t>供销合作社</w:t>
      </w:r>
      <w:r>
        <w:rPr>
          <w:rFonts w:hint="eastAsia"/>
        </w:rPr>
        <w:t>工作</w:t>
      </w:r>
      <w:r>
        <w:rPr>
          <w:rFonts w:hint="eastAsia"/>
          <w:lang w:val="en-US" w:eastAsia="zh-CN"/>
        </w:rPr>
        <w:t>的</w:t>
      </w:r>
      <w:r>
        <w:rPr>
          <w:rFonts w:hint="eastAsia"/>
        </w:rPr>
        <w:t>方针政策和法律法规，</w:t>
      </w:r>
      <w:r>
        <w:rPr>
          <w:rFonts w:hint="eastAsia"/>
          <w:lang w:val="en-US" w:eastAsia="zh-CN"/>
        </w:rPr>
        <w:t>研究制定全区供销系统发展规划，指导全区供销合作社的改革和发展，按照区政府授权对重要农资商品、农副产品、特殊商品的经营进行组织、协调、管理，协调同有关部门的关系，促进和维护供销合作社的合法权益，指导全区供销合作社的业务活动，引导农民发展商品生产和有组织地进入市场，完善对农业、农村和农民的综合服务，促进城乡物资交流，组织对内、外贸易，管理下属企业，管好社有资产，确保社有资产保值增值，承办区委、区政府和上级供销联社交办的其他事项</w:t>
      </w:r>
      <w:r>
        <w:rPr>
          <w:rFonts w:hint="eastAsia"/>
        </w:rPr>
        <w:t>。</w:t>
      </w:r>
    </w:p>
    <w:p>
      <w:pPr>
        <w:pageBreakBefore w:val="0"/>
        <w:kinsoku/>
        <w:wordWrap/>
        <w:overflowPunct/>
        <w:topLinePunct w:val="0"/>
        <w:autoSpaceDE/>
        <w:autoSpaceDN/>
        <w:bidi w:val="0"/>
        <w:spacing w:line="570" w:lineRule="exact"/>
        <w:ind w:firstLine="640"/>
        <w:jc w:val="both"/>
      </w:pPr>
      <w:r>
        <w:rPr>
          <w:rFonts w:hint="eastAsia"/>
        </w:rPr>
        <w:t>根据部门三定方案有关文件，</w:t>
      </w:r>
      <w:r>
        <w:rPr>
          <w:rFonts w:hint="eastAsia"/>
          <w:lang w:val="en-US" w:eastAsia="zh-CN"/>
        </w:rPr>
        <w:t>区供销社</w:t>
      </w:r>
      <w:r>
        <w:rPr>
          <w:rFonts w:hint="eastAsia"/>
        </w:rPr>
        <w:t>内设4个机构，核定</w:t>
      </w:r>
      <w:r>
        <w:rPr>
          <w:rFonts w:hint="eastAsia"/>
          <w:lang w:val="en-US" w:eastAsia="zh-CN"/>
        </w:rPr>
        <w:t>区供销联社事业编制19名，其中后勤服务人员编制2名</w:t>
      </w:r>
      <w:r>
        <w:t>。根据</w:t>
      </w:r>
      <w:r>
        <w:rPr>
          <w:rFonts w:hint="eastAsia"/>
          <w:lang w:val="en-US" w:eastAsia="zh-CN"/>
        </w:rPr>
        <w:t>区供销社</w:t>
      </w:r>
      <w:r>
        <w:t>202</w:t>
      </w:r>
      <w:r>
        <w:rPr>
          <w:rFonts w:hint="eastAsia"/>
          <w:lang w:val="en-US" w:eastAsia="zh-CN"/>
        </w:rPr>
        <w:t>3</w:t>
      </w:r>
      <w:r>
        <w:t>年部门决算报表《</w:t>
      </w:r>
      <w:r>
        <w:rPr>
          <w:rFonts w:hint="eastAsia"/>
        </w:rPr>
        <w:t>基本数字表》</w:t>
      </w:r>
      <w:r>
        <w:t>显示，202</w:t>
      </w:r>
      <w:r>
        <w:rPr>
          <w:rFonts w:hint="eastAsia"/>
          <w:lang w:val="en-US" w:eastAsia="zh-CN"/>
        </w:rPr>
        <w:t>3</w:t>
      </w:r>
      <w:r>
        <w:t>年末部门在职实有人数</w:t>
      </w:r>
      <w:r>
        <w:rPr>
          <w:rFonts w:hint="eastAsia"/>
          <w:lang w:val="en-US" w:eastAsia="zh-CN"/>
        </w:rPr>
        <w:t>17</w:t>
      </w:r>
      <w:r>
        <w:t>人，其中</w:t>
      </w:r>
      <w:r>
        <w:rPr>
          <w:rFonts w:hint="eastAsia"/>
        </w:rPr>
        <w:t>参照公务员法管理事业人员</w:t>
      </w:r>
      <w:r>
        <w:t>人数1</w:t>
      </w:r>
      <w:r>
        <w:rPr>
          <w:rFonts w:hint="eastAsia"/>
          <w:lang w:val="en-US" w:eastAsia="zh-CN"/>
        </w:rPr>
        <w:t>6</w:t>
      </w:r>
      <w:r>
        <w:t>人</w:t>
      </w:r>
      <w:r>
        <w:rPr>
          <w:rFonts w:hint="eastAsia"/>
          <w:lang w:eastAsia="zh-CN"/>
        </w:rPr>
        <w:t>，</w:t>
      </w:r>
      <w:r>
        <w:t>机关后勤服务人员</w:t>
      </w:r>
      <w:r>
        <w:rPr>
          <w:rFonts w:hint="eastAsia"/>
          <w:lang w:val="en-US" w:eastAsia="zh-CN"/>
        </w:rPr>
        <w:t>1</w:t>
      </w:r>
      <w:r>
        <w:t>人。</w:t>
      </w:r>
    </w:p>
    <w:p>
      <w:pPr>
        <w:pageBreakBefore w:val="0"/>
        <w:kinsoku/>
        <w:wordWrap/>
        <w:overflowPunct/>
        <w:topLinePunct w:val="0"/>
        <w:autoSpaceDE/>
        <w:autoSpaceDN/>
        <w:bidi w:val="0"/>
        <w:spacing w:line="570" w:lineRule="exact"/>
        <w:ind w:firstLine="640"/>
        <w:jc w:val="both"/>
        <w:rPr>
          <w:rFonts w:hint="eastAsia"/>
        </w:rPr>
      </w:pPr>
      <w:r>
        <w:rPr>
          <w:rFonts w:hint="eastAsia"/>
        </w:rPr>
        <w:t>根据《关于批复2023年度区直部门预算收支计划的通知》（</w:t>
      </w:r>
      <w:r>
        <w:rPr>
          <w:rFonts w:hint="eastAsia"/>
          <w:lang w:val="en-US" w:eastAsia="zh-CN"/>
        </w:rPr>
        <w:t>安</w:t>
      </w:r>
      <w:r>
        <w:rPr>
          <w:rFonts w:hint="eastAsia"/>
        </w:rPr>
        <w:t>财</w:t>
      </w:r>
      <w:r>
        <w:rPr>
          <w:rFonts w:hint="eastAsia"/>
          <w:lang w:val="en-US" w:eastAsia="zh-CN"/>
        </w:rPr>
        <w:t>农</w:t>
      </w:r>
      <w:r>
        <w:rPr>
          <w:rFonts w:hint="eastAsia" w:hAnsi="Times New Roman"/>
          <w:spacing w:val="-6"/>
          <w:szCs w:val="32"/>
        </w:rPr>
        <w:t>〔202</w:t>
      </w:r>
      <w:r>
        <w:rPr>
          <w:rFonts w:hint="eastAsia" w:hAnsi="Times New Roman"/>
          <w:spacing w:val="-6"/>
          <w:szCs w:val="32"/>
          <w:lang w:val="en-US" w:eastAsia="zh-CN"/>
        </w:rPr>
        <w:t>3</w:t>
      </w:r>
      <w:r>
        <w:rPr>
          <w:rFonts w:hint="eastAsia" w:hAnsi="Times New Roman"/>
          <w:spacing w:val="-6"/>
          <w:szCs w:val="32"/>
        </w:rPr>
        <w:t>〕</w:t>
      </w:r>
      <w:r>
        <w:rPr>
          <w:rFonts w:hint="eastAsia"/>
          <w:lang w:val="en-US" w:eastAsia="zh-CN"/>
        </w:rPr>
        <w:t>47</w:t>
      </w:r>
      <w:r>
        <w:rPr>
          <w:rFonts w:hint="eastAsia"/>
        </w:rPr>
        <w:t>号），</w:t>
      </w:r>
      <w:r>
        <w:rPr>
          <w:rFonts w:hint="eastAsia"/>
          <w:lang w:val="en-US" w:eastAsia="zh-CN"/>
        </w:rPr>
        <w:t>区供销社</w:t>
      </w:r>
      <w:r>
        <w:rPr>
          <w:rFonts w:hint="eastAsia"/>
        </w:rPr>
        <w:t>202</w:t>
      </w:r>
      <w:r>
        <w:rPr>
          <w:rFonts w:hint="eastAsia"/>
          <w:lang w:val="en-US" w:eastAsia="zh-CN"/>
        </w:rPr>
        <w:t>3</w:t>
      </w:r>
      <w:r>
        <w:rPr>
          <w:rFonts w:hint="eastAsia"/>
        </w:rPr>
        <w:t>年年初预算金额为</w:t>
      </w:r>
      <w:r>
        <w:rPr>
          <w:rFonts w:hint="eastAsia"/>
          <w:lang w:val="en-US" w:eastAsia="zh-CN"/>
        </w:rPr>
        <w:t>403.68</w:t>
      </w:r>
      <w:r>
        <w:rPr>
          <w:rFonts w:hint="eastAsia"/>
        </w:rPr>
        <w:t>万元，其中基本支出</w:t>
      </w:r>
      <w:r>
        <w:rPr>
          <w:rFonts w:hint="eastAsia"/>
          <w:lang w:val="en-US" w:eastAsia="zh-CN"/>
        </w:rPr>
        <w:t>373.68</w:t>
      </w:r>
      <w:r>
        <w:rPr>
          <w:rFonts w:hint="eastAsia"/>
        </w:rPr>
        <w:t>万元，项目支出</w:t>
      </w:r>
      <w:r>
        <w:rPr>
          <w:rFonts w:hint="eastAsia"/>
          <w:lang w:val="en-US" w:eastAsia="zh-CN"/>
        </w:rPr>
        <w:t>30</w:t>
      </w:r>
      <w:r>
        <w:rPr>
          <w:rFonts w:hint="eastAsia"/>
        </w:rPr>
        <w:t>万元。根据</w:t>
      </w:r>
      <w:r>
        <w:rPr>
          <w:rFonts w:hint="eastAsia"/>
          <w:lang w:val="en-US" w:eastAsia="zh-CN"/>
        </w:rPr>
        <w:t>区供销社</w:t>
      </w:r>
      <w:r>
        <w:rPr>
          <w:rFonts w:hint="eastAsia"/>
        </w:rPr>
        <w:t>202</w:t>
      </w:r>
      <w:r>
        <w:rPr>
          <w:rFonts w:hint="eastAsia"/>
          <w:lang w:val="en-US" w:eastAsia="zh-CN"/>
        </w:rPr>
        <w:t>3</w:t>
      </w:r>
      <w:r>
        <w:rPr>
          <w:rFonts w:hint="eastAsia"/>
        </w:rPr>
        <w:t>年部门决算报表《收入支出决算总表》（财决01）显示，202</w:t>
      </w:r>
      <w:r>
        <w:rPr>
          <w:rFonts w:hint="eastAsia"/>
          <w:lang w:val="en-US" w:eastAsia="zh-CN"/>
        </w:rPr>
        <w:t>3</w:t>
      </w:r>
      <w:r>
        <w:rPr>
          <w:rFonts w:hint="eastAsia"/>
        </w:rPr>
        <w:t>年</w:t>
      </w:r>
      <w:r>
        <w:rPr>
          <w:rFonts w:hint="eastAsia"/>
          <w:lang w:val="en-US" w:eastAsia="zh-CN"/>
        </w:rPr>
        <w:t>区供销社</w:t>
      </w:r>
      <w:r>
        <w:rPr>
          <w:rFonts w:hint="eastAsia"/>
        </w:rPr>
        <w:t>部门收入总计451</w:t>
      </w:r>
      <w:r>
        <w:rPr>
          <w:rFonts w:hint="eastAsia"/>
          <w:lang w:val="en-US" w:eastAsia="zh-CN"/>
        </w:rPr>
        <w:t>.</w:t>
      </w:r>
      <w:r>
        <w:rPr>
          <w:rFonts w:hint="eastAsia"/>
        </w:rPr>
        <w:t>9</w:t>
      </w:r>
      <w:r>
        <w:rPr>
          <w:rFonts w:hint="eastAsia"/>
          <w:lang w:val="en-US" w:eastAsia="zh-CN"/>
        </w:rPr>
        <w:t>5</w:t>
      </w:r>
      <w:r>
        <w:rPr>
          <w:rFonts w:hint="eastAsia"/>
        </w:rPr>
        <w:t>万元，其中202</w:t>
      </w:r>
      <w:r>
        <w:rPr>
          <w:rFonts w:hint="eastAsia"/>
          <w:lang w:val="en-US" w:eastAsia="zh-CN"/>
        </w:rPr>
        <w:t>3</w:t>
      </w:r>
      <w:r>
        <w:rPr>
          <w:rFonts w:hint="eastAsia"/>
        </w:rPr>
        <w:t>年一般公共预算财政拨款收入450</w:t>
      </w:r>
      <w:r>
        <w:rPr>
          <w:rFonts w:hint="eastAsia"/>
          <w:lang w:val="en-US" w:eastAsia="zh-CN"/>
        </w:rPr>
        <w:t>.</w:t>
      </w:r>
      <w:r>
        <w:rPr>
          <w:rFonts w:hint="eastAsia"/>
        </w:rPr>
        <w:t>7</w:t>
      </w:r>
      <w:r>
        <w:rPr>
          <w:rFonts w:hint="eastAsia"/>
          <w:lang w:val="en-US" w:eastAsia="zh-CN"/>
        </w:rPr>
        <w:t>4</w:t>
      </w:r>
      <w:r>
        <w:rPr>
          <w:rFonts w:hint="eastAsia"/>
        </w:rPr>
        <w:t>万元，其他收入</w:t>
      </w:r>
      <w:r>
        <w:rPr>
          <w:rFonts w:hint="eastAsia"/>
          <w:lang w:val="en-US" w:eastAsia="zh-CN"/>
        </w:rPr>
        <w:t>0.18</w:t>
      </w:r>
      <w:r>
        <w:rPr>
          <w:rFonts w:hint="eastAsia"/>
        </w:rPr>
        <w:t>万元，年初结转结余资金</w:t>
      </w:r>
      <w:r>
        <w:rPr>
          <w:rFonts w:hint="eastAsia"/>
          <w:lang w:val="en-US" w:eastAsia="zh-CN"/>
        </w:rPr>
        <w:t>1.03</w:t>
      </w:r>
      <w:r>
        <w:rPr>
          <w:rFonts w:hint="eastAsia"/>
        </w:rPr>
        <w:t>万元；202</w:t>
      </w:r>
      <w:r>
        <w:rPr>
          <w:rFonts w:hint="eastAsia"/>
          <w:lang w:val="en-US" w:eastAsia="zh-CN"/>
        </w:rPr>
        <w:t>3</w:t>
      </w:r>
      <w:r>
        <w:rPr>
          <w:rFonts w:hint="eastAsia"/>
        </w:rPr>
        <w:t>年部门支出决算数为451</w:t>
      </w:r>
      <w:r>
        <w:rPr>
          <w:rFonts w:hint="eastAsia"/>
          <w:lang w:val="en-US" w:eastAsia="zh-CN"/>
        </w:rPr>
        <w:t>.</w:t>
      </w:r>
      <w:r>
        <w:rPr>
          <w:rFonts w:hint="eastAsia"/>
        </w:rPr>
        <w:t>9</w:t>
      </w:r>
      <w:r>
        <w:rPr>
          <w:rFonts w:hint="eastAsia"/>
          <w:lang w:val="en-US" w:eastAsia="zh-CN"/>
        </w:rPr>
        <w:t>5</w:t>
      </w:r>
      <w:r>
        <w:t>万元，其中基本支出</w:t>
      </w:r>
      <w:r>
        <w:rPr>
          <w:rFonts w:hint="eastAsia"/>
        </w:rPr>
        <w:t>418</w:t>
      </w:r>
      <w:r>
        <w:rPr>
          <w:rFonts w:hint="eastAsia"/>
          <w:lang w:val="en-US" w:eastAsia="zh-CN"/>
        </w:rPr>
        <w:t>.</w:t>
      </w:r>
      <w:r>
        <w:rPr>
          <w:rFonts w:hint="eastAsia"/>
        </w:rPr>
        <w:t>9</w:t>
      </w:r>
      <w:r>
        <w:rPr>
          <w:rFonts w:hint="eastAsia"/>
          <w:lang w:val="en-US" w:eastAsia="zh-CN"/>
        </w:rPr>
        <w:t>9</w:t>
      </w:r>
      <w:r>
        <w:t>万元，项目支出</w:t>
      </w:r>
      <w:r>
        <w:rPr>
          <w:rFonts w:hint="eastAsia"/>
        </w:rPr>
        <w:t>31</w:t>
      </w:r>
      <w:r>
        <w:rPr>
          <w:rFonts w:hint="eastAsia"/>
          <w:lang w:val="en-US" w:eastAsia="zh-CN"/>
        </w:rPr>
        <w:t>.</w:t>
      </w:r>
      <w:r>
        <w:rPr>
          <w:rFonts w:hint="eastAsia"/>
        </w:rPr>
        <w:t>75</w:t>
      </w:r>
      <w:r>
        <w:t>万元</w:t>
      </w:r>
      <w:r>
        <w:rPr>
          <w:rFonts w:hint="eastAsia"/>
        </w:rPr>
        <w:t>，年末结转结余资金</w:t>
      </w:r>
      <w:r>
        <w:rPr>
          <w:rFonts w:hint="eastAsia"/>
          <w:lang w:val="en-US" w:eastAsia="zh-CN"/>
        </w:rPr>
        <w:t>1.21</w:t>
      </w:r>
      <w:r>
        <w:rPr>
          <w:rFonts w:hint="eastAsia"/>
        </w:rPr>
        <w:t>万元。</w:t>
      </w:r>
    </w:p>
    <w:p>
      <w:pPr>
        <w:pageBreakBefore w:val="0"/>
        <w:kinsoku/>
        <w:wordWrap/>
        <w:overflowPunct/>
        <w:topLinePunct w:val="0"/>
        <w:autoSpaceDE/>
        <w:autoSpaceDN/>
        <w:bidi w:val="0"/>
        <w:spacing w:line="570" w:lineRule="exact"/>
        <w:ind w:firstLine="640"/>
        <w:jc w:val="both"/>
        <w:rPr>
          <w:rFonts w:hint="eastAsia"/>
        </w:rPr>
      </w:pPr>
      <w:r>
        <w:rPr>
          <w:rFonts w:hint="eastAsia"/>
          <w:lang w:val="en-US" w:eastAsia="zh-CN"/>
        </w:rPr>
        <w:t>围绕部门资金，区供销社设置的2023年部门整体总体绩效目标为：</w:t>
      </w:r>
      <w:r>
        <w:rPr>
          <w:rFonts w:hint="eastAsia"/>
        </w:rPr>
        <w:t>为全面贯彻落实党的二十大精神，以及贯彻落实习近平总书记视察广东重要讲话、重要指示精神和关于供销合作社工作的重要指示精神，贯彻全省供销合作社落实“百县千镇万村高质量发展工程”动员部署会议和省社五届四次理事会议及市委、区委农村工作会议精神。持续深化供销合作社综合改革，推动供销合作社为农服务高质量发展。组建成立农业科技服务公司，全年力争实现农业社会化服务规模14万亩次，建成1个烘干服务中心，农业面源污染防控示范体系项目试点实施覆盖面积2万亩，加快广东供销（潮安）天业冷链物流产业园项目建设进度，力争今年第四季度投入试运营，培育发展高质量发展的基层社2个，市级“供销农场”2个，农民专业合作社3个，省、市社有企业与基层社新建项目1个，升级改造薄弱基层社1个。对区直现有企业进行改革，完善人事薪酬、财务管理、资产管理、投资等制度并规范执行，做实合作发展基金，推动区社实现社资委应建尽建。</w:t>
      </w:r>
    </w:p>
    <w:bookmarkEnd w:id="4"/>
    <w:bookmarkEnd w:id="5"/>
    <w:p>
      <w:pPr>
        <w:pStyle w:val="2"/>
        <w:pageBreakBefore w:val="0"/>
        <w:numPr>
          <w:ilvl w:val="0"/>
          <w:numId w:val="1"/>
        </w:numPr>
        <w:kinsoku/>
        <w:wordWrap/>
        <w:overflowPunct/>
        <w:topLinePunct w:val="0"/>
        <w:autoSpaceDE/>
        <w:autoSpaceDN/>
        <w:bidi w:val="0"/>
        <w:spacing w:line="570" w:lineRule="exact"/>
        <w:ind w:firstLine="640"/>
        <w:jc w:val="both"/>
        <w:rPr>
          <w:rFonts w:hint="eastAsia"/>
          <w:lang w:val="en-US" w:eastAsia="zh-CN"/>
        </w:rPr>
      </w:pPr>
      <w:r>
        <w:rPr>
          <w:rFonts w:hint="eastAsia"/>
          <w:lang w:val="en-US" w:eastAsia="zh-CN"/>
        </w:rPr>
        <w:t>评价结论与绩效分析</w:t>
      </w:r>
    </w:p>
    <w:p>
      <w:pPr>
        <w:pStyle w:val="3"/>
        <w:pageBreakBefore w:val="0"/>
        <w:kinsoku/>
        <w:wordWrap/>
        <w:overflowPunct/>
        <w:topLinePunct w:val="0"/>
        <w:autoSpaceDE/>
        <w:autoSpaceDN/>
        <w:bidi w:val="0"/>
        <w:spacing w:line="570" w:lineRule="exact"/>
        <w:ind w:firstLine="643"/>
        <w:jc w:val="both"/>
        <w:rPr>
          <w:rFonts w:hint="default" w:eastAsia="楷体_GB2312"/>
          <w:lang w:val="en-US" w:eastAsia="zh-CN"/>
        </w:rPr>
      </w:pPr>
      <w:bookmarkStart w:id="6" w:name="_Toc3916"/>
      <w:r>
        <w:rPr>
          <w:rFonts w:hint="eastAsia"/>
        </w:rPr>
        <w:t>（</w:t>
      </w:r>
      <w:r>
        <w:rPr>
          <w:rFonts w:hint="eastAsia"/>
          <w:lang w:val="en-US" w:eastAsia="zh-CN"/>
        </w:rPr>
        <w:t>一</w:t>
      </w:r>
      <w:r>
        <w:rPr>
          <w:rFonts w:hint="eastAsia"/>
        </w:rPr>
        <w:t>）</w:t>
      </w:r>
      <w:bookmarkEnd w:id="6"/>
      <w:r>
        <w:rPr>
          <w:rFonts w:hint="eastAsia"/>
          <w:lang w:val="en-US" w:eastAsia="zh-CN"/>
        </w:rPr>
        <w:t>总体结论</w:t>
      </w:r>
    </w:p>
    <w:p>
      <w:pPr>
        <w:pageBreakBefore w:val="0"/>
        <w:kinsoku/>
        <w:wordWrap/>
        <w:overflowPunct/>
        <w:topLinePunct w:val="0"/>
        <w:autoSpaceDE/>
        <w:autoSpaceDN/>
        <w:bidi w:val="0"/>
        <w:spacing w:line="570" w:lineRule="exact"/>
        <w:ind w:firstLine="640"/>
        <w:jc w:val="both"/>
        <w:rPr>
          <w:rFonts w:hint="default" w:hAnsi="Times New Roman" w:eastAsia="仿宋_GB2312" w:cs="Times New Roman"/>
          <w:lang w:val="en-US" w:eastAsia="zh-CN"/>
        </w:rPr>
      </w:pPr>
      <w:r>
        <w:rPr>
          <w:rFonts w:hint="eastAsia" w:hAnsi="Times New Roman" w:cs="Times New Roman"/>
          <w:lang w:val="en-US" w:eastAsia="zh-CN"/>
        </w:rPr>
        <w:t>2023年，区供销社按照区委、区政府的战略部署，聚焦实施“百千万工程”，围绕部门主责主业，在推进供销系统综合改革、推动农服务高质量发展等各项工作中取得新进展，部门整体预算投入与产出取得一定成效</w:t>
      </w:r>
      <w:r>
        <w:rPr>
          <w:rFonts w:hAnsi="Times New Roman" w:cs="Times New Roman"/>
        </w:rPr>
        <w:t>。</w:t>
      </w:r>
      <w:r>
        <w:rPr>
          <w:rFonts w:hint="eastAsia" w:hAnsi="Times New Roman" w:cs="Times New Roman"/>
          <w:lang w:val="en-US" w:eastAsia="zh-CN"/>
        </w:rPr>
        <w:t>但在部门履职效能仍待持续提升。</w:t>
      </w:r>
    </w:p>
    <w:p>
      <w:pPr>
        <w:pageBreakBefore w:val="0"/>
        <w:kinsoku/>
        <w:wordWrap/>
        <w:overflowPunct/>
        <w:topLinePunct w:val="0"/>
        <w:autoSpaceDE/>
        <w:autoSpaceDN/>
        <w:bidi w:val="0"/>
        <w:spacing w:line="570" w:lineRule="exact"/>
        <w:ind w:firstLine="640"/>
        <w:jc w:val="both"/>
        <w:rPr>
          <w:rFonts w:hint="eastAsia" w:hAnsi="Times New Roman" w:cs="Times New Roman"/>
          <w:lang w:val="en-US" w:eastAsia="zh-CN"/>
        </w:rPr>
      </w:pPr>
      <w:r>
        <w:rPr>
          <w:rFonts w:hint="eastAsia" w:hAnsi="Times New Roman" w:cs="Times New Roman"/>
          <w:lang w:val="en-US" w:eastAsia="zh-CN"/>
        </w:rPr>
        <w:t>根据既定评价指标体系，评价组综合评定2023年区供销社部门整体支出绩效评价综合得分为：90.43分，评定等级为“良”。</w:t>
      </w:r>
    </w:p>
    <w:p>
      <w:pPr>
        <w:pStyle w:val="5"/>
        <w:rPr>
          <w:rFonts w:hint="eastAsia" w:eastAsia="宋体"/>
          <w:lang w:eastAsia="zh-CN"/>
        </w:rPr>
      </w:pPr>
      <w:r>
        <w:t xml:space="preserve">表 </w:t>
      </w:r>
      <w:r>
        <w:fldChar w:fldCharType="begin"/>
      </w:r>
      <w:r>
        <w:instrText xml:space="preserve"> SEQ 表 \* ARABIC </w:instrText>
      </w:r>
      <w:r>
        <w:fldChar w:fldCharType="separate"/>
      </w:r>
      <w:r>
        <w:t>1</w:t>
      </w:r>
      <w:r>
        <w:fldChar w:fldCharType="end"/>
      </w:r>
      <w:r>
        <w:rPr>
          <w:rFonts w:hint="eastAsia"/>
          <w:lang w:eastAsia="zh-CN"/>
        </w:rPr>
        <w:t xml:space="preserve"> 评价情况总表</w:t>
      </w:r>
    </w:p>
    <w:tbl>
      <w:tblPr>
        <w:tblStyle w:val="1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3"/>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default" w:hAnsi="Times New Roman" w:cs="Times New Roman"/>
                <w:b/>
                <w:bCs/>
                <w:sz w:val="28"/>
                <w:szCs w:val="28"/>
                <w:vertAlign w:val="baseline"/>
                <w:lang w:val="en-US" w:eastAsia="zh-CN"/>
              </w:rPr>
            </w:pPr>
            <w:r>
              <w:rPr>
                <w:rFonts w:hint="eastAsia" w:hAnsi="Times New Roman" w:cs="Times New Roman"/>
                <w:b/>
                <w:bCs/>
                <w:sz w:val="28"/>
                <w:szCs w:val="28"/>
                <w:vertAlign w:val="baseline"/>
                <w:lang w:val="en-US" w:eastAsia="zh-CN"/>
              </w:rPr>
              <w:t>评价指标</w:t>
            </w:r>
          </w:p>
        </w:tc>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8"/>
                <w:szCs w:val="28"/>
                <w:vertAlign w:val="baseline"/>
                <w:lang w:val="en-US" w:eastAsia="zh-CN"/>
              </w:rPr>
            </w:pPr>
            <w:r>
              <w:rPr>
                <w:rFonts w:hint="eastAsia" w:hAnsi="Times New Roman" w:cs="Times New Roman"/>
                <w:b/>
                <w:bCs/>
                <w:sz w:val="28"/>
                <w:szCs w:val="28"/>
                <w:vertAlign w:val="baseline"/>
                <w:lang w:val="en-US" w:eastAsia="zh-CN"/>
              </w:rPr>
              <w:t>分值</w:t>
            </w:r>
          </w:p>
        </w:tc>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8"/>
                <w:szCs w:val="28"/>
                <w:vertAlign w:val="baseline"/>
                <w:lang w:val="en-US" w:eastAsia="zh-CN"/>
              </w:rPr>
            </w:pPr>
            <w:r>
              <w:rPr>
                <w:rFonts w:hint="eastAsia" w:hAnsi="Times New Roman" w:cs="Times New Roman"/>
                <w:b/>
                <w:bCs/>
                <w:sz w:val="28"/>
                <w:szCs w:val="28"/>
                <w:vertAlign w:val="baseline"/>
                <w:lang w:val="en-US" w:eastAsia="zh-CN"/>
              </w:rPr>
              <w:t>评价得分</w:t>
            </w:r>
          </w:p>
        </w:tc>
        <w:tc>
          <w:tcPr>
            <w:tcW w:w="2294"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8"/>
                <w:szCs w:val="28"/>
                <w:vertAlign w:val="baseline"/>
                <w:lang w:val="en-US" w:eastAsia="zh-CN"/>
              </w:rPr>
            </w:pPr>
            <w:r>
              <w:rPr>
                <w:rFonts w:hint="eastAsia" w:hAnsi="Times New Roman" w:cs="Times New Roman"/>
                <w:b/>
                <w:bCs/>
                <w:sz w:val="28"/>
                <w:szCs w:val="28"/>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8"/>
                <w:szCs w:val="28"/>
                <w:vertAlign w:val="baseline"/>
                <w:lang w:val="en-US" w:eastAsia="zh-CN"/>
              </w:rPr>
            </w:pPr>
            <w:r>
              <w:rPr>
                <w:rFonts w:hint="eastAsia" w:hAnsi="Times New Roman" w:cs="Times New Roman"/>
                <w:b/>
                <w:bCs/>
                <w:sz w:val="28"/>
                <w:szCs w:val="28"/>
                <w:vertAlign w:val="baseline"/>
                <w:lang w:val="en-US" w:eastAsia="zh-CN"/>
              </w:rPr>
              <w:t>评价总得分</w:t>
            </w:r>
          </w:p>
        </w:tc>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8"/>
                <w:szCs w:val="28"/>
                <w:vertAlign w:val="baseline"/>
                <w:lang w:val="en-US" w:eastAsia="zh-CN"/>
              </w:rPr>
            </w:pPr>
            <w:r>
              <w:rPr>
                <w:rFonts w:hint="eastAsia" w:hAnsi="Times New Roman" w:cs="Times New Roman"/>
                <w:b/>
                <w:bCs/>
                <w:sz w:val="28"/>
                <w:szCs w:val="28"/>
                <w:vertAlign w:val="baseline"/>
                <w:lang w:val="en-US" w:eastAsia="zh-CN"/>
              </w:rPr>
              <w:t>100</w:t>
            </w:r>
          </w:p>
        </w:tc>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8"/>
                <w:szCs w:val="28"/>
                <w:vertAlign w:val="baseline"/>
                <w:lang w:val="en-US" w:eastAsia="zh-CN"/>
              </w:rPr>
            </w:pPr>
            <w:r>
              <w:rPr>
                <w:rFonts w:hint="eastAsia" w:hAnsi="Times New Roman" w:cs="Times New Roman"/>
                <w:b/>
                <w:bCs/>
                <w:sz w:val="28"/>
                <w:szCs w:val="28"/>
                <w:vertAlign w:val="baseline"/>
                <w:lang w:val="en-US" w:eastAsia="zh-CN"/>
              </w:rPr>
              <w:t>90.43</w:t>
            </w:r>
          </w:p>
        </w:tc>
        <w:tc>
          <w:tcPr>
            <w:tcW w:w="2294"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8"/>
                <w:szCs w:val="28"/>
                <w:vertAlign w:val="baseline"/>
                <w:lang w:val="en-US" w:eastAsia="zh-CN"/>
              </w:rPr>
            </w:pPr>
            <w:r>
              <w:rPr>
                <w:rFonts w:hint="eastAsia" w:hAnsi="Times New Roman" w:cs="Times New Roman"/>
                <w:b/>
                <w:bCs/>
                <w:sz w:val="28"/>
                <w:szCs w:val="28"/>
                <w:vertAlign w:val="baseline"/>
                <w:lang w:val="en-US" w:eastAsia="zh-CN"/>
              </w:rPr>
              <w:t>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8"/>
                <w:szCs w:val="28"/>
                <w:vertAlign w:val="baseline"/>
                <w:lang w:val="en-US" w:eastAsia="zh-CN"/>
              </w:rPr>
            </w:pPr>
            <w:r>
              <w:rPr>
                <w:rFonts w:hint="eastAsia" w:hAnsi="Times New Roman" w:cs="Times New Roman"/>
                <w:sz w:val="28"/>
                <w:szCs w:val="28"/>
                <w:vertAlign w:val="baseline"/>
                <w:lang w:val="en-US" w:eastAsia="zh-CN"/>
              </w:rPr>
              <w:t>一、履职效能</w:t>
            </w:r>
          </w:p>
        </w:tc>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8"/>
                <w:szCs w:val="28"/>
                <w:vertAlign w:val="baseline"/>
                <w:lang w:val="en-US" w:eastAsia="zh-CN"/>
              </w:rPr>
            </w:pPr>
            <w:r>
              <w:rPr>
                <w:rFonts w:hint="eastAsia" w:hAnsi="Times New Roman" w:cs="Times New Roman"/>
                <w:sz w:val="28"/>
                <w:szCs w:val="28"/>
                <w:vertAlign w:val="baseline"/>
                <w:lang w:val="en-US" w:eastAsia="zh-CN"/>
              </w:rPr>
              <w:t>50</w:t>
            </w:r>
          </w:p>
        </w:tc>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8"/>
                <w:szCs w:val="28"/>
                <w:vertAlign w:val="baseline"/>
                <w:lang w:val="en-US" w:eastAsia="zh-CN"/>
              </w:rPr>
            </w:pPr>
            <w:r>
              <w:rPr>
                <w:rFonts w:hint="eastAsia" w:hAnsi="Times New Roman" w:cs="Times New Roman"/>
                <w:sz w:val="28"/>
                <w:szCs w:val="28"/>
                <w:vertAlign w:val="baseline"/>
                <w:lang w:val="en-US" w:eastAsia="zh-CN"/>
              </w:rPr>
              <w:t>45.43</w:t>
            </w:r>
          </w:p>
        </w:tc>
        <w:tc>
          <w:tcPr>
            <w:tcW w:w="2294"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8"/>
                <w:szCs w:val="28"/>
                <w:vertAlign w:val="baseline"/>
                <w:lang w:val="en-US" w:eastAsia="zh-CN"/>
              </w:rPr>
            </w:pPr>
            <w:r>
              <w:rPr>
                <w:rFonts w:hint="eastAsia" w:hAnsi="Times New Roman" w:cs="Times New Roman"/>
                <w:sz w:val="28"/>
                <w:szCs w:val="28"/>
                <w:vertAlign w:val="baseline"/>
                <w:lang w:val="en-US" w:eastAsia="zh-CN"/>
              </w:rPr>
              <w:t>90.86%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8"/>
                <w:szCs w:val="28"/>
                <w:vertAlign w:val="baseline"/>
                <w:lang w:val="en-US" w:eastAsia="zh-CN"/>
              </w:rPr>
            </w:pPr>
            <w:r>
              <w:rPr>
                <w:rFonts w:hint="eastAsia" w:hAnsi="Times New Roman" w:cs="Times New Roman"/>
                <w:sz w:val="28"/>
                <w:szCs w:val="28"/>
                <w:vertAlign w:val="baseline"/>
                <w:lang w:val="en-US" w:eastAsia="zh-CN"/>
              </w:rPr>
              <w:t>二、管理效率</w:t>
            </w:r>
          </w:p>
        </w:tc>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8"/>
                <w:szCs w:val="28"/>
                <w:vertAlign w:val="baseline"/>
                <w:lang w:val="en-US" w:eastAsia="zh-CN"/>
              </w:rPr>
            </w:pPr>
            <w:r>
              <w:rPr>
                <w:rFonts w:hint="eastAsia" w:hAnsi="Times New Roman" w:cs="Times New Roman"/>
                <w:sz w:val="28"/>
                <w:szCs w:val="28"/>
                <w:vertAlign w:val="baseline"/>
                <w:lang w:val="en-US" w:eastAsia="zh-CN"/>
              </w:rPr>
              <w:t>50</w:t>
            </w:r>
          </w:p>
        </w:tc>
        <w:tc>
          <w:tcPr>
            <w:tcW w:w="2293"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8"/>
                <w:szCs w:val="28"/>
                <w:vertAlign w:val="baseline"/>
                <w:lang w:val="en-US" w:eastAsia="zh-CN"/>
              </w:rPr>
            </w:pPr>
            <w:r>
              <w:rPr>
                <w:rFonts w:hint="eastAsia" w:hAnsi="Times New Roman" w:cs="Times New Roman"/>
                <w:sz w:val="28"/>
                <w:szCs w:val="28"/>
                <w:vertAlign w:val="baseline"/>
                <w:lang w:val="en-US" w:eastAsia="zh-CN"/>
              </w:rPr>
              <w:t>45.00</w:t>
            </w:r>
          </w:p>
        </w:tc>
        <w:tc>
          <w:tcPr>
            <w:tcW w:w="2294" w:type="dxa"/>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8"/>
                <w:szCs w:val="28"/>
                <w:vertAlign w:val="baseline"/>
                <w:lang w:val="en-US" w:eastAsia="zh-CN"/>
              </w:rPr>
            </w:pPr>
            <w:r>
              <w:rPr>
                <w:rFonts w:hint="eastAsia" w:hAnsi="Times New Roman" w:cs="Times New Roman"/>
                <w:sz w:val="28"/>
                <w:szCs w:val="28"/>
                <w:vertAlign w:val="baseline"/>
                <w:lang w:val="en-US" w:eastAsia="zh-CN"/>
              </w:rPr>
              <w:t>90.00%</w:t>
            </w:r>
          </w:p>
        </w:tc>
      </w:tr>
    </w:tbl>
    <w:p>
      <w:pPr>
        <w:pageBreakBefore w:val="0"/>
        <w:kinsoku/>
        <w:wordWrap/>
        <w:overflowPunct/>
        <w:topLinePunct w:val="0"/>
        <w:autoSpaceDE/>
        <w:autoSpaceDN/>
        <w:bidi w:val="0"/>
        <w:spacing w:line="570" w:lineRule="exact"/>
        <w:ind w:firstLine="640"/>
        <w:jc w:val="center"/>
        <w:rPr>
          <w:rFonts w:hint="default" w:hAnsi="Times New Roman" w:cs="Times New Roman"/>
          <w:sz w:val="28"/>
          <w:szCs w:val="28"/>
          <w:lang w:val="en-US" w:eastAsia="zh-CN"/>
        </w:rPr>
      </w:pPr>
    </w:p>
    <w:p>
      <w:pPr>
        <w:pStyle w:val="3"/>
        <w:pageBreakBefore w:val="0"/>
        <w:kinsoku/>
        <w:wordWrap/>
        <w:overflowPunct/>
        <w:topLinePunct w:val="0"/>
        <w:autoSpaceDE/>
        <w:autoSpaceDN/>
        <w:bidi w:val="0"/>
        <w:spacing w:line="570" w:lineRule="exact"/>
        <w:ind w:firstLine="643"/>
        <w:jc w:val="both"/>
        <w:rPr>
          <w:rFonts w:hint="default" w:hAnsi="Times New Roman" w:eastAsia="楷体_GB2312" w:cs="Times New Roman"/>
          <w:lang w:val="en-US" w:eastAsia="zh-CN"/>
        </w:rPr>
      </w:pPr>
      <w:bookmarkStart w:id="7" w:name="_Toc1537"/>
      <w:r>
        <w:rPr>
          <w:rFonts w:hint="eastAsia"/>
        </w:rPr>
        <w:t>（</w:t>
      </w:r>
      <w:r>
        <w:rPr>
          <w:rFonts w:hint="eastAsia"/>
          <w:lang w:val="en-US" w:eastAsia="zh-CN"/>
        </w:rPr>
        <w:t>二</w:t>
      </w:r>
      <w:r>
        <w:rPr>
          <w:rFonts w:hint="eastAsia"/>
        </w:rPr>
        <w:t>）</w:t>
      </w:r>
      <w:bookmarkEnd w:id="7"/>
      <w:r>
        <w:rPr>
          <w:rFonts w:hint="eastAsia"/>
          <w:lang w:val="en-US" w:eastAsia="zh-CN"/>
        </w:rPr>
        <w:t>各部分绩效分析</w:t>
      </w:r>
    </w:p>
    <w:p>
      <w:pPr>
        <w:pageBreakBefore w:val="0"/>
        <w:kinsoku/>
        <w:wordWrap/>
        <w:overflowPunct/>
        <w:topLinePunct w:val="0"/>
        <w:autoSpaceDE/>
        <w:autoSpaceDN/>
        <w:bidi w:val="0"/>
        <w:spacing w:line="570" w:lineRule="exact"/>
        <w:ind w:firstLine="640"/>
        <w:jc w:val="both"/>
        <w:rPr>
          <w:rFonts w:hint="default" w:hAnsi="Times New Roman" w:eastAsia="仿宋_GB2312" w:cs="Times New Roman"/>
          <w:b/>
          <w:bCs/>
          <w:lang w:val="en-US" w:eastAsia="zh-CN"/>
        </w:rPr>
      </w:pPr>
      <w:r>
        <w:rPr>
          <w:rFonts w:hint="eastAsia" w:hAnsi="Times New Roman" w:cs="Times New Roman"/>
          <w:b/>
          <w:bCs/>
          <w:lang w:val="en-US" w:eastAsia="zh-CN"/>
        </w:rPr>
        <w:t>1.履职效能分析</w:t>
      </w:r>
    </w:p>
    <w:p>
      <w:pPr>
        <w:pageBreakBefore w:val="0"/>
        <w:kinsoku/>
        <w:wordWrap/>
        <w:overflowPunct/>
        <w:topLinePunct w:val="0"/>
        <w:autoSpaceDE/>
        <w:autoSpaceDN/>
        <w:bidi w:val="0"/>
        <w:spacing w:line="570" w:lineRule="exact"/>
        <w:ind w:firstLine="640"/>
        <w:jc w:val="both"/>
        <w:rPr>
          <w:rFonts w:hint="default" w:hAnsi="Times New Roman" w:cs="Times New Roman"/>
          <w:lang w:val="en-US" w:eastAsia="zh-CN"/>
        </w:rPr>
      </w:pPr>
      <w:r>
        <w:rPr>
          <w:rFonts w:hint="eastAsia" w:hAnsi="Times New Roman" w:cs="Times New Roman"/>
          <w:lang w:val="en-US" w:eastAsia="zh-CN"/>
        </w:rPr>
        <w:t>指标分值50分，包括整体效能1个二级指标，下设部门整体绩效目标产出指标完成情况（20）、部门整体绩效目标效益指标完成情况（20）和年度重点工作任务完成率（10）3个三级指标。根据区供销社提供的部门整体预算绩效目标表，共设置了1项年度重点工作任务（基层供销社综合改革经费），6个产出指标，4个效益指标，指标具体情况如下：</w:t>
      </w:r>
    </w:p>
    <w:p>
      <w:pPr>
        <w:pStyle w:val="5"/>
        <w:rPr>
          <w:rFonts w:hint="eastAsia" w:eastAsia="宋体"/>
          <w:lang w:eastAsia="zh-CN"/>
        </w:rPr>
      </w:pPr>
      <w:r>
        <w:t xml:space="preserve">表 </w:t>
      </w:r>
      <w:r>
        <w:rPr>
          <w:rFonts w:hint="eastAsia"/>
          <w:lang w:val="en-US" w:eastAsia="zh-CN"/>
        </w:rPr>
        <w:t>2</w:t>
      </w:r>
      <w:r>
        <w:rPr>
          <w:rFonts w:hint="eastAsia"/>
          <w:lang w:eastAsia="zh-CN"/>
        </w:rPr>
        <w:t xml:space="preserve"> 绩效指标</w:t>
      </w:r>
    </w:p>
    <w:tbl>
      <w:tblPr>
        <w:tblStyle w:val="17"/>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224"/>
        <w:gridCol w:w="4776"/>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4"/>
                <w:szCs w:val="20"/>
                <w:shd w:val="clear" w:color="auto" w:fill="auto"/>
                <w:vertAlign w:val="baseline"/>
                <w:lang w:val="en-US" w:eastAsia="zh-CN"/>
              </w:rPr>
            </w:pPr>
            <w:r>
              <w:rPr>
                <w:rFonts w:hint="eastAsia" w:hAnsi="Times New Roman" w:cs="Times New Roman"/>
                <w:b/>
                <w:bCs/>
                <w:sz w:val="24"/>
                <w:szCs w:val="20"/>
                <w:shd w:val="clear" w:color="auto" w:fill="auto"/>
                <w:vertAlign w:val="baseline"/>
                <w:lang w:val="en-US" w:eastAsia="zh-CN"/>
              </w:rPr>
              <w:t>一级指标</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4"/>
                <w:szCs w:val="20"/>
                <w:shd w:val="clear" w:color="auto" w:fill="auto"/>
                <w:vertAlign w:val="baseline"/>
                <w:lang w:val="en-US" w:eastAsia="zh-CN"/>
              </w:rPr>
            </w:pPr>
            <w:r>
              <w:rPr>
                <w:rFonts w:hint="eastAsia" w:hAnsi="Times New Roman" w:cs="Times New Roman"/>
                <w:b/>
                <w:bCs/>
                <w:sz w:val="24"/>
                <w:szCs w:val="20"/>
                <w:shd w:val="clear" w:color="auto" w:fill="auto"/>
                <w:vertAlign w:val="baseline"/>
                <w:lang w:val="en-US" w:eastAsia="zh-CN"/>
              </w:rPr>
              <w:t>二级指标</w:t>
            </w: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4"/>
                <w:szCs w:val="20"/>
                <w:shd w:val="clear" w:color="auto" w:fill="auto"/>
                <w:vertAlign w:val="baseline"/>
                <w:lang w:val="en-US" w:eastAsia="zh-CN"/>
              </w:rPr>
            </w:pPr>
            <w:r>
              <w:rPr>
                <w:rFonts w:hint="eastAsia" w:hAnsi="Times New Roman" w:cs="Times New Roman"/>
                <w:b/>
                <w:bCs/>
                <w:sz w:val="24"/>
                <w:szCs w:val="20"/>
                <w:shd w:val="clear" w:color="auto" w:fill="auto"/>
                <w:vertAlign w:val="baseline"/>
                <w:lang w:val="en-US" w:eastAsia="zh-CN"/>
              </w:rPr>
              <w:t>三级指标</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b/>
                <w:bCs/>
                <w:sz w:val="24"/>
                <w:szCs w:val="20"/>
                <w:shd w:val="clear" w:color="auto" w:fill="auto"/>
                <w:vertAlign w:val="baseline"/>
                <w:lang w:val="en-US" w:eastAsia="zh-CN"/>
              </w:rPr>
            </w:pPr>
            <w:r>
              <w:rPr>
                <w:rFonts w:hint="eastAsia" w:hAnsi="Times New Roman" w:cs="Times New Roman"/>
                <w:b/>
                <w:bCs/>
                <w:sz w:val="24"/>
                <w:szCs w:val="20"/>
                <w:shd w:val="clear" w:color="auto" w:fill="auto"/>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产出指标</w:t>
            </w: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数量指标</w:t>
            </w: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供销烘干服务中心（个）</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领办农民专业合作社（个）</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省市社有企业与基层社新建项目（个）</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升级改造薄弱基层社（个）</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时效指标</w:t>
            </w: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加快项目建设进度</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15"/>
                <w:szCs w:val="10"/>
                <w:vertAlign w:val="baseline"/>
                <w:lang w:val="en-US" w:eastAsia="zh-CN"/>
              </w:rPr>
              <w:t>力争今年第四季度投入试运营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成本指标</w:t>
            </w: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预算资金控制有效性</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不超预算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效益指标</w:t>
            </w: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社会效益指标</w:t>
            </w: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完善体制机制，深化供销社综合改革，努力推进乡村振兴工作</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完善体制机制，有效促进深化供销社综合改革，努力推进乡村振兴工作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充分发挥供销社流通主渠道作用，实现农业生产性服务</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p>
        </w:tc>
        <w:tc>
          <w:tcPr>
            <w:tcW w:w="477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default" w:hAnsi="Times New Roman" w:cs="Times New Roman"/>
                <w:sz w:val="24"/>
                <w:szCs w:val="20"/>
                <w:vertAlign w:val="baseline"/>
                <w:lang w:val="en-US" w:eastAsia="zh-CN"/>
              </w:rPr>
              <w:t>基本实现农业社会化服务（亩次）</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hAnsi="Times New Roman" w:cs="Times New Roman"/>
                <w:sz w:val="24"/>
                <w:szCs w:val="20"/>
                <w:vertAlign w:val="baseline"/>
                <w:lang w:val="en-US" w:eastAsia="zh-CN"/>
              </w:rPr>
            </w:pPr>
            <w:r>
              <w:rPr>
                <w:rFonts w:hint="eastAsia" w:hAnsi="Times New Roman" w:cs="Times New Roman"/>
                <w:sz w:val="24"/>
                <w:szCs w:val="20"/>
                <w:vertAlign w:val="baseline"/>
                <w:lang w:val="en-US" w:eastAsia="zh-CN"/>
              </w:rPr>
              <w:t>140000</w:t>
            </w:r>
          </w:p>
        </w:tc>
      </w:tr>
    </w:tbl>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both"/>
        <w:textAlignment w:val="auto"/>
        <w:rPr>
          <w:rFonts w:hint="default"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原设置的绩效指标较少不够全面，且可衡量性低，经与区供销社沟通确认，评价组对区供销社2023年度部门整体产出和效益指标进行重新梳理，结合年度工作方案等资料对部门整体预算绩效目标进行细化和量化，优化产出、效益评价指标设置，共细化设置了11个绩效指标，包括8个产出、3个效益指标，梳理后的部门整体预算绩效指标设定见下表：</w:t>
      </w:r>
    </w:p>
    <w:p>
      <w:pPr>
        <w:pStyle w:val="5"/>
        <w:rPr>
          <w:rFonts w:hint="eastAsia" w:eastAsia="宋体"/>
          <w:lang w:eastAsia="zh-CN"/>
        </w:rPr>
      </w:pPr>
      <w:r>
        <w:t xml:space="preserve">表 </w:t>
      </w:r>
      <w:r>
        <w:rPr>
          <w:rFonts w:hint="eastAsia"/>
          <w:lang w:val="en-US" w:eastAsia="zh-CN"/>
        </w:rPr>
        <w:t>3</w:t>
      </w:r>
      <w:r>
        <w:rPr>
          <w:rFonts w:hint="eastAsia"/>
          <w:lang w:eastAsia="zh-CN"/>
        </w:rPr>
        <w:t xml:space="preserve"> 评价组梳理后的</w:t>
      </w:r>
      <w:r>
        <w:rPr>
          <w:rFonts w:hint="eastAsia" w:cs="仿宋_GB2312"/>
          <w:lang w:val="en-US" w:eastAsia="zh-CN"/>
        </w:rPr>
        <w:t>部门整体预算绩效指标</w:t>
      </w:r>
      <w:r>
        <w:rPr>
          <w:rFonts w:hint="eastAsia"/>
          <w:lang w:eastAsia="zh-CN"/>
        </w:rPr>
        <w:t>表</w:t>
      </w:r>
    </w:p>
    <w:tbl>
      <w:tblPr>
        <w:tblStyle w:val="1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97"/>
        <w:gridCol w:w="4062"/>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b/>
                <w:bCs/>
                <w:sz w:val="28"/>
                <w:szCs w:val="28"/>
                <w:vertAlign w:val="baseline"/>
                <w:lang w:val="en-US" w:eastAsia="zh-CN"/>
              </w:rPr>
            </w:pPr>
            <w:r>
              <w:rPr>
                <w:rFonts w:hint="eastAsia" w:cs="仿宋_GB2312"/>
                <w:b/>
                <w:bCs/>
                <w:sz w:val="28"/>
                <w:szCs w:val="28"/>
                <w:vertAlign w:val="baseline"/>
                <w:lang w:val="en-US" w:eastAsia="zh-CN"/>
              </w:rPr>
              <w:t>一级指标</w:t>
            </w: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b/>
                <w:bCs/>
                <w:sz w:val="28"/>
                <w:szCs w:val="28"/>
                <w:vertAlign w:val="baseline"/>
                <w:lang w:val="en-US" w:eastAsia="zh-CN"/>
              </w:rPr>
            </w:pPr>
            <w:r>
              <w:rPr>
                <w:rFonts w:hint="eastAsia" w:cs="仿宋_GB2312"/>
                <w:b/>
                <w:bCs/>
                <w:sz w:val="28"/>
                <w:szCs w:val="28"/>
                <w:vertAlign w:val="baseline"/>
                <w:lang w:val="en-US" w:eastAsia="zh-CN"/>
              </w:rPr>
              <w:t>二级指标</w:t>
            </w: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b/>
                <w:bCs/>
                <w:sz w:val="28"/>
                <w:szCs w:val="28"/>
                <w:vertAlign w:val="baseline"/>
                <w:lang w:val="en-US" w:eastAsia="zh-CN"/>
              </w:rPr>
            </w:pPr>
            <w:r>
              <w:rPr>
                <w:rFonts w:hint="eastAsia" w:cs="仿宋_GB2312"/>
                <w:b/>
                <w:bCs/>
                <w:sz w:val="28"/>
                <w:szCs w:val="28"/>
                <w:vertAlign w:val="baseline"/>
                <w:lang w:val="en-US" w:eastAsia="zh-CN"/>
              </w:rPr>
              <w:t>三级指标</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b/>
                <w:bCs/>
                <w:sz w:val="28"/>
                <w:szCs w:val="28"/>
                <w:vertAlign w:val="baseline"/>
                <w:lang w:val="en-US" w:eastAsia="zh-CN"/>
              </w:rPr>
            </w:pPr>
            <w:r>
              <w:rPr>
                <w:rFonts w:hint="eastAsia" w:cs="仿宋_GB2312"/>
                <w:b/>
                <w:bCs/>
                <w:sz w:val="28"/>
                <w:szCs w:val="28"/>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0"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产出指标</w:t>
            </w:r>
          </w:p>
        </w:tc>
        <w:tc>
          <w:tcPr>
            <w:tcW w:w="1397"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数量指标</w:t>
            </w: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建设供销烘干服务中心（个）</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1397"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培育农民专业合作社（个）</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1397"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default" w:cs="仿宋_GB2312"/>
                <w:sz w:val="24"/>
                <w:szCs w:val="24"/>
                <w:vertAlign w:val="baseline"/>
                <w:lang w:val="en-US" w:eastAsia="zh-CN"/>
              </w:rPr>
              <w:t>省市社有企业与基层社新建项目（个）</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1397"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升级改造薄弱基层社（个）</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1397"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培训农民人次（人）</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1397"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default" w:cs="仿宋_GB2312"/>
                <w:sz w:val="24"/>
                <w:szCs w:val="24"/>
                <w:vertAlign w:val="baseline"/>
                <w:lang w:val="en-US" w:eastAsia="zh-CN"/>
              </w:rPr>
              <w:t>开展“粤菜师傅”培训场次（次）</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质量指标</w:t>
            </w: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default" w:cs="仿宋_GB2312"/>
                <w:sz w:val="24"/>
                <w:szCs w:val="24"/>
                <w:vertAlign w:val="baseline"/>
                <w:lang w:val="en-US" w:eastAsia="zh-CN"/>
              </w:rPr>
              <w:t>“粤菜师傅”培训学员获奖（是/否）</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时效指标</w:t>
            </w: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冷链物流骨干网建成时间</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效益指标</w:t>
            </w:r>
          </w:p>
        </w:tc>
        <w:tc>
          <w:tcPr>
            <w:tcW w:w="1397"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社会效益指标</w:t>
            </w: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default" w:cs="仿宋_GB2312"/>
                <w:sz w:val="24"/>
                <w:szCs w:val="24"/>
                <w:vertAlign w:val="baseline"/>
                <w:lang w:val="en-US" w:eastAsia="zh-CN"/>
              </w:rPr>
              <w:t>实现农业社会化服务规模（亩次）</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14万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1397"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农业面源污染防控面积（亩）</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2"/>
                <w:szCs w:val="22"/>
                <w:vertAlign w:val="baseline"/>
                <w:lang w:val="en-US" w:eastAsia="zh-CN"/>
              </w:rPr>
              <w:t>满意度指标</w:t>
            </w:r>
          </w:p>
        </w:tc>
        <w:tc>
          <w:tcPr>
            <w:tcW w:w="4062"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学员满意度（%）</w:t>
            </w:r>
          </w:p>
        </w:tc>
        <w:tc>
          <w:tcPr>
            <w:tcW w:w="229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cs="仿宋_GB2312"/>
                <w:sz w:val="28"/>
                <w:szCs w:val="28"/>
                <w:vertAlign w:val="baseline"/>
                <w:lang w:val="en-US" w:eastAsia="zh-CN"/>
              </w:rPr>
            </w:pPr>
            <w:r>
              <w:rPr>
                <w:rFonts w:hint="eastAsia" w:cs="仿宋_GB2312"/>
                <w:sz w:val="28"/>
                <w:szCs w:val="28"/>
                <w:vertAlign w:val="baseline"/>
                <w:lang w:val="en-US" w:eastAsia="zh-CN"/>
              </w:rPr>
              <w:t>≥85</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cs="仿宋_GB2312"/>
          <w:lang w:val="en-US" w:eastAsia="zh-CN"/>
        </w:rPr>
      </w:pPr>
      <w:r>
        <w:rPr>
          <w:rFonts w:hint="eastAsia" w:cs="仿宋_GB2312"/>
          <w:b/>
          <w:bCs/>
          <w:lang w:val="en-US" w:eastAsia="zh-CN"/>
        </w:rPr>
        <w:t>一是</w:t>
      </w:r>
      <w:r>
        <w:rPr>
          <w:rFonts w:hint="eastAsia" w:cs="仿宋_GB2312"/>
          <w:lang w:val="en-US" w:eastAsia="zh-CN"/>
        </w:rPr>
        <w:t>部门整体绩效目标产出指标完成情况，区供销社2023年建设供销烘干服务中心1个，培育农民专业合作社3个，省市社有企业与基层社新建项目1个，升级改造薄弱基层社1个，培训农民人次100次，开展“粤菜师傅”培训场次2次，“粤菜师傅”培训学员在全省2023年供销合作社系统“粤菜师傅”技能大赛中斩获三等奖1个、优秀奖2个，第四季度建成冷链物流骨干。综上所述，产出指标的完成率均为100%，该指标评价得分20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cs="仿宋_GB2312"/>
          <w:lang w:val="en-US" w:eastAsia="zh-CN"/>
        </w:rPr>
      </w:pPr>
      <w:r>
        <w:rPr>
          <w:rFonts w:hint="eastAsia" w:hAnsi="Times New Roman" w:cs="Times New Roman"/>
          <w:b/>
          <w:bCs/>
          <w:lang w:val="en-US" w:eastAsia="zh-CN"/>
        </w:rPr>
        <w:t>二是</w:t>
      </w:r>
      <w:r>
        <w:rPr>
          <w:rFonts w:hint="eastAsia" w:hAnsi="Times New Roman" w:cs="Times New Roman"/>
          <w:lang w:val="en-US" w:eastAsia="zh-CN"/>
        </w:rPr>
        <w:t>部门整体绩效目标效益指标完成情况，</w:t>
      </w:r>
      <w:r>
        <w:rPr>
          <w:rFonts w:hint="eastAsia" w:cs="仿宋_GB2312"/>
          <w:lang w:val="en-US" w:eastAsia="zh-CN"/>
        </w:rPr>
        <w:t>区供销社2023年实现农业社会化服务规模10万亩次，农业面源污染防控面积1.2万亩，“粤菜师傅”培训满意度调查收回满意度结果57份，其中很满意45份，满意12份，量化满意度大于85%。综上所述，效益指标完成率分别为71.43%、60%、100%，该指标评价得分15.43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cs="仿宋_GB2312"/>
          <w:lang w:val="en-US" w:eastAsia="zh-CN"/>
        </w:rPr>
      </w:pPr>
      <w:r>
        <w:rPr>
          <w:rFonts w:hint="eastAsia" w:cs="仿宋_GB2312"/>
          <w:b/>
          <w:bCs/>
          <w:lang w:val="en-US" w:eastAsia="zh-CN"/>
        </w:rPr>
        <w:t>三是</w:t>
      </w:r>
      <w:r>
        <w:rPr>
          <w:rFonts w:hint="eastAsia" w:cs="仿宋_GB2312"/>
          <w:lang w:val="en-US" w:eastAsia="zh-CN"/>
        </w:rPr>
        <w:t>年度重点工作任务完成率，结合区供销社提供的《潮州市潮安区供销合作社联合社2023年度工作汇报》，各项重点工作均能完成。综上所述，该指标得分10分。</w:t>
      </w:r>
    </w:p>
    <w:p>
      <w:pPr>
        <w:pageBreakBefore w:val="0"/>
        <w:kinsoku/>
        <w:wordWrap/>
        <w:overflowPunct/>
        <w:topLinePunct w:val="0"/>
        <w:autoSpaceDE/>
        <w:autoSpaceDN/>
        <w:bidi w:val="0"/>
        <w:spacing w:line="570" w:lineRule="exact"/>
        <w:ind w:firstLine="643"/>
        <w:jc w:val="both"/>
        <w:rPr>
          <w:rFonts w:hint="default" w:hAnsi="Times New Roman" w:eastAsia="仿宋_GB2312" w:cs="Times New Roman"/>
          <w:b/>
          <w:lang w:val="en-US" w:eastAsia="zh-CN"/>
        </w:rPr>
      </w:pPr>
      <w:r>
        <w:rPr>
          <w:rFonts w:hint="eastAsia" w:hAnsi="Times New Roman" w:cs="Times New Roman"/>
          <w:b/>
          <w:lang w:val="en-US" w:eastAsia="zh-CN"/>
        </w:rPr>
        <w:t>2.管理效率分析</w:t>
      </w:r>
    </w:p>
    <w:p>
      <w:pPr>
        <w:pageBreakBefore w:val="0"/>
        <w:kinsoku/>
        <w:wordWrap/>
        <w:overflowPunct/>
        <w:topLinePunct w:val="0"/>
        <w:autoSpaceDE/>
        <w:autoSpaceDN/>
        <w:bidi w:val="0"/>
        <w:spacing w:line="570" w:lineRule="exact"/>
        <w:ind w:firstLine="643"/>
        <w:jc w:val="both"/>
        <w:rPr>
          <w:szCs w:val="32"/>
        </w:rPr>
      </w:pPr>
      <w:r>
        <w:rPr>
          <w:rFonts w:hint="eastAsia" w:hAnsi="Times New Roman" w:cs="Times New Roman"/>
          <w:lang w:val="en-US" w:eastAsia="zh-CN"/>
        </w:rPr>
        <w:t>指标分值50分，包括预算编制（7）、预算执行（7）、信息公开（3）、绩效管理（8）、采购管理（11）、资产管理（14）6个二级指标，下设绩效目标合理性、绩效指标明确性等20个三级指标</w:t>
      </w:r>
      <w:r>
        <w:rPr>
          <w:szCs w:val="32"/>
        </w:rPr>
        <w:t>。</w:t>
      </w:r>
    </w:p>
    <w:p>
      <w:pPr>
        <w:pageBreakBefore w:val="0"/>
        <w:numPr>
          <w:ilvl w:val="0"/>
          <w:numId w:val="2"/>
        </w:numPr>
        <w:kinsoku/>
        <w:wordWrap/>
        <w:overflowPunct/>
        <w:topLinePunct w:val="0"/>
        <w:autoSpaceDE/>
        <w:autoSpaceDN/>
        <w:bidi w:val="0"/>
        <w:spacing w:line="570" w:lineRule="exact"/>
        <w:ind w:firstLine="643"/>
        <w:jc w:val="both"/>
        <w:rPr>
          <w:rFonts w:hint="eastAsia" w:cs="仿宋_GB2312"/>
          <w:lang w:val="en-US" w:eastAsia="zh-CN"/>
        </w:rPr>
      </w:pPr>
      <w:r>
        <w:rPr>
          <w:rFonts w:hint="eastAsia"/>
          <w:szCs w:val="32"/>
          <w:lang w:val="en-US" w:eastAsia="zh-CN"/>
        </w:rPr>
        <w:t>预算编制（7）。一是绩效目标合理性，结合区供销社三定方案及年度工作计划，认为绩效目标能体现部门“三定方案”规定的部门职能，能体现部门中长期规划，能体现年度重点工作，故本指标不扣分</w:t>
      </w:r>
      <w:r>
        <w:rPr>
          <w:rFonts w:hint="eastAsia" w:cs="仿宋_GB2312"/>
          <w:szCs w:val="32"/>
          <w:lang w:val="en-US" w:eastAsia="zh-CN"/>
        </w:rPr>
        <w:t>。二是绩效指标明确性，绩效指标设置与区供销社年度重点工作实施内容相关，能体现部门履职效果的社会效益指标，但社会效益指标指标值不清晰、可衡量性差，扣1分。三是新增预算项目事前绩效评估，区供销社2023年度未新增预算安排的重大支出政策和项目，</w:t>
      </w:r>
      <w:r>
        <w:rPr>
          <w:rFonts w:hint="eastAsia"/>
          <w:szCs w:val="32"/>
          <w:lang w:val="en-US" w:eastAsia="zh-CN"/>
        </w:rPr>
        <w:t>故本指标不扣分</w:t>
      </w:r>
      <w:r>
        <w:rPr>
          <w:rFonts w:hint="eastAsia" w:cs="仿宋_GB2312"/>
          <w:szCs w:val="32"/>
          <w:lang w:val="en-US" w:eastAsia="zh-CN"/>
        </w:rPr>
        <w:t>。</w:t>
      </w:r>
      <w:r>
        <w:rPr>
          <w:rFonts w:hint="eastAsia" w:cs="仿宋_GB2312"/>
          <w:lang w:val="en-US" w:eastAsia="zh-CN"/>
        </w:rPr>
        <w:t>综上所述，该指标评价得分6分。</w:t>
      </w:r>
    </w:p>
    <w:p>
      <w:pPr>
        <w:pageBreakBefore w:val="0"/>
        <w:numPr>
          <w:ilvl w:val="0"/>
          <w:numId w:val="2"/>
        </w:numPr>
        <w:kinsoku/>
        <w:wordWrap/>
        <w:overflowPunct/>
        <w:topLinePunct w:val="0"/>
        <w:autoSpaceDE/>
        <w:autoSpaceDN/>
        <w:bidi w:val="0"/>
        <w:spacing w:line="570" w:lineRule="exact"/>
        <w:ind w:firstLine="643"/>
        <w:jc w:val="both"/>
        <w:rPr>
          <w:rFonts w:hint="default" w:cs="仿宋_GB2312"/>
          <w:lang w:val="en-US" w:eastAsia="zh-CN"/>
        </w:rPr>
      </w:pPr>
      <w:r>
        <w:rPr>
          <w:rFonts w:hint="eastAsia" w:hAnsi="Times New Roman" w:cs="Times New Roman"/>
          <w:lang w:val="en-US" w:eastAsia="zh-CN"/>
        </w:rPr>
        <w:t>预算执行（7）。一是预算编制约束性，区供销社2023年度收入年初预算数为403.68万元，收入决算数为451.47万元，其中年中增人增编经费49.04万元，上级未追加资金，则年中追加资金占比率=(451.47-403.68-49.04)/403.68＜0%,</w:t>
      </w:r>
      <w:r>
        <w:rPr>
          <w:rFonts w:hint="eastAsia"/>
          <w:szCs w:val="32"/>
          <w:lang w:val="en-US" w:eastAsia="zh-CN"/>
        </w:rPr>
        <w:t>故本指标不扣分</w:t>
      </w:r>
      <w:r>
        <w:rPr>
          <w:rFonts w:hint="eastAsia" w:hAnsi="Times New Roman" w:cs="Times New Roman"/>
          <w:lang w:val="en-US" w:eastAsia="zh-CN"/>
        </w:rPr>
        <w:t>。二是“三公”经费控制情况，区供销社2023年度“三公”经费预算安排数为2.9万元，“三公”经费实际支出数为0.71万元，“三公”经费实际支出数≤预算安排的“三公”经费数，</w:t>
      </w:r>
      <w:r>
        <w:rPr>
          <w:rFonts w:hint="eastAsia"/>
          <w:szCs w:val="32"/>
          <w:lang w:val="en-US" w:eastAsia="zh-CN"/>
        </w:rPr>
        <w:t>故本指标不扣分</w:t>
      </w:r>
      <w:r>
        <w:rPr>
          <w:rFonts w:hint="eastAsia" w:hAnsi="Times New Roman" w:cs="Times New Roman"/>
          <w:lang w:val="en-US" w:eastAsia="zh-CN"/>
        </w:rPr>
        <w:t>。三是财务管理合规性，区供销社已建立《机关财务管理制度》加强单位财务管理，但发现存在部分会计记账不规范的问题，如2023年7月21日支付办公经费先用残疾人就业保障金垫付，后续也未作调账处理，扣1分。</w:t>
      </w:r>
      <w:r>
        <w:rPr>
          <w:rFonts w:hint="eastAsia" w:cs="仿宋_GB2312"/>
          <w:lang w:val="en-US" w:eastAsia="zh-CN"/>
        </w:rPr>
        <w:t>综上所述，该指标评价得分6分。</w:t>
      </w:r>
    </w:p>
    <w:p>
      <w:pPr>
        <w:pageBreakBefore w:val="0"/>
        <w:numPr>
          <w:ilvl w:val="0"/>
          <w:numId w:val="2"/>
        </w:numPr>
        <w:kinsoku/>
        <w:wordWrap/>
        <w:overflowPunct/>
        <w:topLinePunct w:val="0"/>
        <w:autoSpaceDE/>
        <w:autoSpaceDN/>
        <w:bidi w:val="0"/>
        <w:spacing w:line="570" w:lineRule="exact"/>
        <w:ind w:firstLine="643"/>
        <w:jc w:val="both"/>
        <w:rPr>
          <w:rFonts w:hint="default" w:cs="仿宋_GB2312"/>
          <w:lang w:val="en-US" w:eastAsia="zh-CN"/>
        </w:rPr>
      </w:pPr>
      <w:r>
        <w:rPr>
          <w:rFonts w:hint="eastAsia" w:hAnsi="Times New Roman" w:cs="Times New Roman"/>
          <w:lang w:val="en-US" w:eastAsia="zh-CN"/>
        </w:rPr>
        <w:t>信息公开（3）。一是预决算公开及时性，区供销社于2023年4月20日在潮州市潮安区人民政府网站公开《2023年潮州市潮安区供销合作社联社部门预算公开》，于2023年9月21日在潮州市潮安区人民政府网站公开《2022年潮州市潮安区供销合作社联社决算公开》，部门预决算公开均在财政部门批复后20日内，故本指标不扣分。二是绩效信息公开情况，经查阅《2023年潮州市潮安区供销合作社联社部门预算公开》，单位在预算公开中公开了绩效目标信息，经查阅《2022年潮州市潮安区供销合作社联社决算公开》，单位在决算公开中公开了绩效自评信息。</w:t>
      </w:r>
      <w:r>
        <w:rPr>
          <w:rFonts w:hint="eastAsia" w:cs="仿宋_GB2312"/>
          <w:lang w:val="en-US" w:eastAsia="zh-CN"/>
        </w:rPr>
        <w:t>综上所述，该指标评价得分3分。</w:t>
      </w:r>
    </w:p>
    <w:p>
      <w:pPr>
        <w:pageBreakBefore w:val="0"/>
        <w:numPr>
          <w:ilvl w:val="0"/>
          <w:numId w:val="2"/>
        </w:numPr>
        <w:kinsoku/>
        <w:wordWrap/>
        <w:overflowPunct/>
        <w:topLinePunct w:val="0"/>
        <w:autoSpaceDE/>
        <w:autoSpaceDN/>
        <w:bidi w:val="0"/>
        <w:spacing w:line="570" w:lineRule="exact"/>
        <w:ind w:firstLine="643"/>
        <w:jc w:val="both"/>
        <w:rPr>
          <w:rFonts w:hint="default" w:cs="仿宋_GB2312"/>
          <w:lang w:val="en-US" w:eastAsia="zh-CN"/>
        </w:rPr>
      </w:pPr>
      <w:r>
        <w:rPr>
          <w:rFonts w:hint="eastAsia" w:hAnsi="Times New Roman" w:cs="Times New Roman"/>
          <w:lang w:val="en-US" w:eastAsia="zh-CN"/>
        </w:rPr>
        <w:t>绩效管理（8）。一是绩效管理制度建设，区供销社部门内控制度在资金管理能体现绩效管理要求，但未不够具体，未明确各部门在绩效管理过程中的职责，扣2分。二是绩效管理制度执行，区供销社2023年按照要求公开绩效评价结果，及时报送整改信息，故本指标不扣分。</w:t>
      </w:r>
      <w:r>
        <w:rPr>
          <w:rFonts w:hint="eastAsia" w:cs="仿宋_GB2312"/>
          <w:lang w:val="en-US" w:eastAsia="zh-CN"/>
        </w:rPr>
        <w:t>综上所述，该指标评价得分6分。</w:t>
      </w:r>
    </w:p>
    <w:p>
      <w:pPr>
        <w:pageBreakBefore w:val="0"/>
        <w:numPr>
          <w:ilvl w:val="0"/>
          <w:numId w:val="2"/>
        </w:numPr>
        <w:kinsoku/>
        <w:wordWrap/>
        <w:overflowPunct/>
        <w:topLinePunct w:val="0"/>
        <w:autoSpaceDE/>
        <w:autoSpaceDN/>
        <w:bidi w:val="0"/>
        <w:spacing w:line="570" w:lineRule="exact"/>
        <w:ind w:firstLine="643"/>
        <w:jc w:val="both"/>
        <w:rPr>
          <w:rFonts w:hint="default" w:cs="仿宋_GB2312"/>
          <w:lang w:val="en-US" w:eastAsia="zh-CN"/>
        </w:rPr>
      </w:pPr>
      <w:r>
        <w:rPr>
          <w:rFonts w:hint="eastAsia" w:hAnsi="Times New Roman" w:cs="Times New Roman"/>
          <w:lang w:val="en-US" w:eastAsia="zh-CN"/>
        </w:rPr>
        <w:t>采购管理（11）。区供销社已建立《区供销联社政府采购管理内部控制制度》，并且进行公开采购，及时进行合同备案，未被财政部门查证认定投诉事项成立。</w:t>
      </w:r>
      <w:r>
        <w:rPr>
          <w:rFonts w:hint="eastAsia" w:cs="仿宋_GB2312"/>
          <w:lang w:val="en-US" w:eastAsia="zh-CN"/>
        </w:rPr>
        <w:t>综上所述，该指标评价得分11分。</w:t>
      </w:r>
    </w:p>
    <w:p>
      <w:pPr>
        <w:pageBreakBefore w:val="0"/>
        <w:numPr>
          <w:ilvl w:val="0"/>
          <w:numId w:val="2"/>
        </w:numPr>
        <w:kinsoku/>
        <w:wordWrap/>
        <w:overflowPunct/>
        <w:topLinePunct w:val="0"/>
        <w:autoSpaceDE/>
        <w:autoSpaceDN/>
        <w:bidi w:val="0"/>
        <w:spacing w:line="570" w:lineRule="exact"/>
        <w:ind w:firstLine="643"/>
        <w:jc w:val="both"/>
        <w:rPr>
          <w:rFonts w:hint="default" w:cs="仿宋_GB2312"/>
          <w:lang w:val="en-US" w:eastAsia="zh-CN"/>
        </w:rPr>
      </w:pPr>
      <w:r>
        <w:rPr>
          <w:rFonts w:hint="eastAsia" w:hAnsi="Times New Roman" w:cs="Times New Roman"/>
          <w:lang w:val="en-US" w:eastAsia="zh-CN"/>
        </w:rPr>
        <w:t>资产管理（14）。区供销社2023年不存在处置事项，进行1次资产盘点，1-12月资产月报均在每月7号之前报送，固定资产利用率100%，并制定《潮安区供销社资产管理制度》，但对资产处置、出租出借相关规定不够具体，且</w:t>
      </w:r>
      <w:r>
        <w:rPr>
          <w:rFonts w:hint="eastAsia"/>
          <w:szCs w:val="32"/>
        </w:rPr>
        <w:t>经现场抽查盘点固定资产发现，</w:t>
      </w:r>
      <w:r>
        <w:rPr>
          <w:rFonts w:hint="eastAsia"/>
          <w:szCs w:val="32"/>
          <w:lang w:val="en-US" w:eastAsia="zh-CN"/>
        </w:rPr>
        <w:t>部分资产存放地点与资产卡片登记信息不一致的现象，扣1分</w:t>
      </w:r>
      <w:r>
        <w:rPr>
          <w:rFonts w:hint="eastAsia" w:hAnsi="Times New Roman" w:cs="Times New Roman"/>
          <w:lang w:val="en-US" w:eastAsia="zh-CN"/>
        </w:rPr>
        <w:t>。</w:t>
      </w:r>
      <w:r>
        <w:rPr>
          <w:rFonts w:hint="eastAsia" w:cs="仿宋_GB2312"/>
          <w:lang w:val="en-US" w:eastAsia="zh-CN"/>
        </w:rPr>
        <w:t>综上所述，该指标评价得分13分。</w:t>
      </w:r>
    </w:p>
    <w:p>
      <w:pPr>
        <w:pStyle w:val="2"/>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eastAsia="黑体"/>
          <w:lang w:val="en-US" w:eastAsia="zh-CN"/>
        </w:rPr>
      </w:pPr>
      <w:bookmarkStart w:id="8" w:name="_Toc26328"/>
      <w:r>
        <w:rPr>
          <w:rFonts w:hint="eastAsia"/>
          <w:lang w:val="en-US" w:eastAsia="zh-CN"/>
        </w:rPr>
        <w:t>三、</w:t>
      </w:r>
      <w:bookmarkEnd w:id="8"/>
      <w:r>
        <w:rPr>
          <w:rFonts w:hint="eastAsia"/>
          <w:lang w:val="en-US" w:eastAsia="zh-CN"/>
        </w:rPr>
        <w:t>主要绩效</w:t>
      </w:r>
    </w:p>
    <w:p>
      <w:pPr>
        <w:pStyle w:val="2"/>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楷体" w:hAnsi="楷体" w:eastAsia="楷体" w:cs="楷体"/>
          <w:lang w:val="en-US" w:eastAsia="zh-CN"/>
        </w:rPr>
      </w:pPr>
      <w:bookmarkStart w:id="9" w:name="_Toc16987"/>
      <w:bookmarkStart w:id="10" w:name="_Toc12823506"/>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lang w:val="en-US" w:eastAsia="zh-CN"/>
        </w:rPr>
        <w:t>强化使命担当，积极推进</w:t>
      </w:r>
      <w:r>
        <w:rPr>
          <w:rFonts w:hint="eastAsia" w:ascii="楷体" w:hAnsi="楷体" w:eastAsia="楷体" w:cs="楷体"/>
          <w:spacing w:val="12"/>
          <w:sz w:val="31"/>
          <w:szCs w:val="31"/>
        </w:rPr>
        <w:t>“百千万工程”</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仿宋_GB2312" w:cs="仿宋_GB2312"/>
          <w:lang w:eastAsia="zh-CN"/>
        </w:rPr>
      </w:pPr>
      <w:r>
        <w:rPr>
          <w:rFonts w:hint="eastAsia" w:eastAsia="仿宋_GB2312" w:cs="仿宋_GB2312"/>
          <w:lang w:eastAsia="zh-CN"/>
        </w:rPr>
        <w:t>紧抓“深化综合改革、服务乡村振兴”的角色定位</w:t>
      </w:r>
      <w:r>
        <w:rPr>
          <w:rFonts w:hint="eastAsia" w:cs="仿宋_GB2312"/>
          <w:lang w:val="en-US" w:eastAsia="zh-CN"/>
        </w:rPr>
        <w:t>，发挥供销合作社系统的网络和渠道优势，助力实施“百千万工程”。紧紧围绕供销各项目标任务，明确各部门工作职责，理清责任链条，拧紧责任螺丝，持续深化供销合作社综合改革，加快建设和完善广东供销公共型农业社会化服务体系，推动供销合作社为农服务高质量发展，2023年完成“大冰箱”广东供销(潮安)天业冷链物流产业园一期项目建设并启动开仓试运营，补齐了潮州市中心冷链仓储的短板。在此基础上，根据不同农业产业发展需求，在江东蔬菜产地、庵埠梅林湖莲藕产地建设田头仓储冷链物流设施，从田间保障优势果蔬的新鲜，打通冷链物流“最先一公里”。</w:t>
      </w:r>
    </w:p>
    <w:p>
      <w:pPr>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lang w:val="en-US" w:eastAsia="zh-CN"/>
        </w:rPr>
      </w:pPr>
      <w:r>
        <w:rPr>
          <w:rFonts w:hint="eastAsia" w:ascii="楷体" w:hAnsi="楷体" w:eastAsia="楷体" w:cs="楷体"/>
          <w:lang w:eastAsia="zh-CN"/>
        </w:rPr>
        <w:t>（</w:t>
      </w:r>
      <w:r>
        <w:rPr>
          <w:rFonts w:hint="eastAsia" w:ascii="楷体" w:hAnsi="楷体" w:eastAsia="楷体" w:cs="楷体"/>
          <w:lang w:val="en-US" w:eastAsia="zh-CN"/>
        </w:rPr>
        <w:t>二）贯彻发展方针，多元增强供销系统活力</w:t>
      </w:r>
    </w:p>
    <w:p>
      <w:pPr>
        <w:pageBreakBefore w:val="0"/>
        <w:widowControl w:val="0"/>
        <w:kinsoku/>
        <w:wordWrap/>
        <w:overflowPunct/>
        <w:topLinePunct w:val="0"/>
        <w:autoSpaceDE/>
        <w:autoSpaceDN/>
        <w:bidi w:val="0"/>
        <w:adjustRightInd/>
        <w:snapToGrid/>
        <w:spacing w:line="570" w:lineRule="exact"/>
        <w:textAlignment w:val="auto"/>
        <w:rPr>
          <w:rFonts w:hint="eastAsia" w:eastAsia="仿宋_GB2312" w:cs="仿宋_GB2312"/>
          <w:lang w:eastAsia="zh-CN"/>
        </w:rPr>
      </w:pPr>
      <w:r>
        <w:rPr>
          <w:rFonts w:hint="eastAsia" w:cs="仿宋_GB2312"/>
          <w:lang w:val="en-US" w:eastAsia="zh-CN"/>
        </w:rPr>
        <w:t>一是促进供销基层社多元化建设，</w:t>
      </w:r>
      <w:r>
        <w:rPr>
          <w:rFonts w:hint="eastAsia" w:eastAsia="仿宋_GB2312" w:cs="仿宋_GB2312"/>
          <w:lang w:eastAsia="zh-CN"/>
        </w:rPr>
        <w:t>创建省级标杆基层社1家，创建市级二类标杆基层社1家，打造高质量发展基层社1个，改造薄弱基层社1个，不断强化基层社与农民在组织上和经济上的联结</w:t>
      </w:r>
      <w:r>
        <w:rPr>
          <w:rFonts w:hint="eastAsia" w:cs="仿宋_GB2312"/>
          <w:lang w:eastAsia="zh-CN"/>
        </w:rPr>
        <w:t>，</w:t>
      </w:r>
      <w:r>
        <w:rPr>
          <w:rFonts w:hint="eastAsia" w:eastAsia="仿宋_GB2312" w:cs="仿宋_GB2312"/>
          <w:lang w:eastAsia="zh-CN"/>
        </w:rPr>
        <w:t>全系统销售总额、营业收入等主要经济指标实现两位数正增长</w:t>
      </w:r>
      <w:r>
        <w:rPr>
          <w:rFonts w:hint="eastAsia" w:cs="仿宋_GB2312"/>
          <w:lang w:eastAsia="zh-CN"/>
        </w:rPr>
        <w:t>；</w:t>
      </w:r>
      <w:r>
        <w:rPr>
          <w:rFonts w:hint="eastAsia" w:eastAsia="仿宋_GB2312" w:cs="仿宋_GB2312"/>
          <w:lang w:eastAsia="zh-CN"/>
        </w:rPr>
        <w:t>通过劳动合作、资本合作等多种途径，广泛吸纳农民和各类新型农业经营主体入社，全系统新增培育农民专业合作社3家，建设农业产业化联合体2个，建设省级供销农场2个</w:t>
      </w:r>
      <w:r>
        <w:rPr>
          <w:rFonts w:hint="eastAsia" w:cs="仿宋_GB2312"/>
          <w:lang w:eastAsia="zh-CN"/>
        </w:rPr>
        <w:t>；</w:t>
      </w:r>
      <w:r>
        <w:rPr>
          <w:rFonts w:hint="eastAsia" w:eastAsia="仿宋_GB2312" w:cs="仿宋_GB2312"/>
          <w:lang w:eastAsia="zh-CN"/>
        </w:rPr>
        <w:t>推动基层社办公设备、经营服务设施信息化</w:t>
      </w:r>
      <w:r>
        <w:rPr>
          <w:rFonts w:hint="eastAsia" w:cs="仿宋_GB2312"/>
          <w:lang w:eastAsia="zh-CN"/>
        </w:rPr>
        <w:t>，</w:t>
      </w:r>
      <w:r>
        <w:rPr>
          <w:rFonts w:hint="eastAsia" w:eastAsia="仿宋_GB2312" w:cs="仿宋_GB2312"/>
          <w:lang w:eastAsia="zh-CN"/>
        </w:rPr>
        <w:t>促进线上线下一体化运营</w:t>
      </w:r>
      <w:r>
        <w:rPr>
          <w:rFonts w:hint="eastAsia" w:cs="仿宋_GB2312"/>
          <w:lang w:eastAsia="zh-CN"/>
        </w:rPr>
        <w:t>，</w:t>
      </w:r>
      <w:r>
        <w:rPr>
          <w:rFonts w:hint="eastAsia" w:eastAsia="仿宋_GB2312" w:cs="仿宋_GB2312"/>
          <w:lang w:eastAsia="zh-CN"/>
        </w:rPr>
        <w:t>指导基层社合作开展电子商务、数字化营销，</w:t>
      </w:r>
      <w:r>
        <w:rPr>
          <w:rFonts w:hint="eastAsia" w:cs="仿宋_GB2312"/>
          <w:lang w:val="en-US" w:eastAsia="zh-CN"/>
        </w:rPr>
        <w:t>2023年</w:t>
      </w:r>
      <w:r>
        <w:rPr>
          <w:rFonts w:hint="eastAsia" w:eastAsia="仿宋_GB2312" w:cs="仿宋_GB2312"/>
          <w:lang w:eastAsia="zh-CN"/>
        </w:rPr>
        <w:t>茶叶、蜂蜜、西梅电商销售额约1367万元</w:t>
      </w:r>
      <w:r>
        <w:rPr>
          <w:rFonts w:hint="eastAsia" w:cs="仿宋_GB2312"/>
          <w:lang w:eastAsia="zh-CN"/>
        </w:rPr>
        <w:t>；</w:t>
      </w:r>
      <w:r>
        <w:rPr>
          <w:rFonts w:hint="eastAsia" w:cs="仿宋_GB2312"/>
          <w:lang w:val="en-US" w:eastAsia="zh-CN"/>
        </w:rPr>
        <w:t>同时区供销社党组成员多次带队至基层社开展业务指导、交流</w:t>
      </w:r>
      <w:r>
        <w:rPr>
          <w:rFonts w:hint="eastAsia" w:eastAsia="仿宋_GB2312" w:cs="仿宋_GB2312"/>
          <w:lang w:eastAsia="zh-CN"/>
        </w:rPr>
        <w:t>。</w:t>
      </w:r>
      <w:r>
        <w:rPr>
          <w:rFonts w:hint="eastAsia" w:cs="仿宋_GB2312"/>
          <w:lang w:val="en-US" w:eastAsia="zh-CN"/>
        </w:rPr>
        <w:t>二是推进社有企业多元化经营，</w:t>
      </w:r>
      <w:r>
        <w:rPr>
          <w:rFonts w:hint="eastAsia" w:eastAsia="仿宋_GB2312" w:cs="仿宋_GB2312"/>
          <w:lang w:eastAsia="zh-CN"/>
        </w:rPr>
        <w:t>潮安区茶叶公司加强与市区茶叶流通协会合作，从茶叶包装、销售上不断拓展发展空间；潮安区果品公司强化与安禾公司业务对接，日用消费品销售实现零的突破；潮安区城区供销企业总公司通过与再生资源公司业务合作，垃圾回收实现零的突破，共回收切割废钢铁9065吨，销售额达2426万元</w:t>
      </w:r>
      <w:r>
        <w:rPr>
          <w:rFonts w:hint="eastAsia" w:cs="仿宋_GB2312"/>
          <w:lang w:eastAsia="zh-CN"/>
        </w:rPr>
        <w:t>；打造农产品合服务站，</w:t>
      </w:r>
      <w:r>
        <w:rPr>
          <w:rFonts w:hint="eastAsia" w:eastAsia="仿宋_GB2312" w:cs="仿宋_GB2312"/>
          <w:lang w:eastAsia="zh-CN"/>
        </w:rPr>
        <w:t>在农业生产大镇打造生产、供销、信用服务相融合的农产品综合服务站，完成东凤、浮洋项目的申报。</w:t>
      </w:r>
    </w:p>
    <w:p>
      <w:pPr>
        <w:pageBreakBefore w:val="0"/>
        <w:widowControl w:val="0"/>
        <w:numPr>
          <w:ilvl w:val="0"/>
          <w:numId w:val="3"/>
        </w:numPr>
        <w:kinsoku/>
        <w:wordWrap/>
        <w:overflowPunct/>
        <w:topLinePunct w:val="0"/>
        <w:autoSpaceDE/>
        <w:autoSpaceDN/>
        <w:bidi w:val="0"/>
        <w:adjustRightInd/>
        <w:snapToGrid/>
        <w:spacing w:line="570" w:lineRule="exact"/>
        <w:textAlignment w:val="auto"/>
        <w:rPr>
          <w:rFonts w:hint="eastAsia" w:ascii="楷体" w:hAnsi="楷体" w:eastAsia="楷体" w:cs="楷体"/>
          <w:lang w:val="en-US" w:eastAsia="zh-CN"/>
        </w:rPr>
      </w:pPr>
      <w:r>
        <w:rPr>
          <w:rFonts w:hint="eastAsia" w:ascii="楷体" w:hAnsi="楷体" w:eastAsia="楷体" w:cs="楷体"/>
          <w:lang w:val="en-US" w:eastAsia="zh-CN"/>
        </w:rPr>
        <w:t>发挥指导职责，引导发展“三农”服务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一是提升公共型农资农技网服务能力</w:t>
      </w:r>
      <w:r>
        <w:rPr>
          <w:rFonts w:hint="eastAsia" w:ascii="仿宋_GB2312" w:hAnsi="仿宋_GB2312" w:eastAsia="仿宋_GB2312" w:cs="仿宋_GB2312"/>
          <w:lang w:eastAsia="zh-CN"/>
        </w:rPr>
        <w:t>，</w:t>
      </w:r>
      <w:r>
        <w:rPr>
          <w:rFonts w:hint="eastAsia" w:ascii="仿宋_GB2312" w:hAnsi="仿宋_GB2312" w:eastAsia="仿宋_GB2312" w:cs="仿宋_GB2312"/>
        </w:rPr>
        <w:t>依托安禾公司农服团队和服务对接农服组织，开展水稻、番薯生产托管服务规模近10万亩次</w:t>
      </w:r>
      <w:r>
        <w:rPr>
          <w:rFonts w:hint="eastAsia" w:ascii="仿宋_GB2312" w:hAnsi="仿宋_GB2312" w:eastAsia="仿宋_GB2312" w:cs="仿宋_GB2312"/>
          <w:lang w:eastAsia="zh-CN"/>
        </w:rPr>
        <w:t>，</w:t>
      </w:r>
      <w:r>
        <w:rPr>
          <w:rFonts w:hint="eastAsia" w:ascii="仿宋_GB2312" w:hAnsi="仿宋_GB2312" w:eastAsia="仿宋_GB2312" w:cs="仿宋_GB2312"/>
        </w:rPr>
        <w:t>实施农业面源污染防控示范体系项目，推广实施水稻病虫害防治和茶叶优质营养解决方案等农业面源污染防控面积1.2 万亩次</w:t>
      </w:r>
      <w:r>
        <w:rPr>
          <w:rFonts w:hint="eastAsia" w:ascii="仿宋_GB2312" w:hAnsi="仿宋_GB2312" w:eastAsia="仿宋_GB2312" w:cs="仿宋_GB2312"/>
          <w:lang w:eastAsia="zh-CN"/>
        </w:rPr>
        <w:t>，</w:t>
      </w:r>
      <w:r>
        <w:rPr>
          <w:rFonts w:hint="eastAsia" w:ascii="仿宋_GB2312" w:hAnsi="仿宋_GB2312" w:eastAsia="仿宋_GB2312" w:cs="仿宋_GB2312"/>
        </w:rPr>
        <w:t>全系统农资门市共调入化肥农药66</w:t>
      </w:r>
      <w:r>
        <w:rPr>
          <w:rFonts w:hint="eastAsia" w:ascii="仿宋_GB2312" w:hAnsi="仿宋_GB2312" w:eastAsia="仿宋_GB2312" w:cs="仿宋_GB2312"/>
          <w:lang w:val="en-US" w:eastAsia="zh-CN"/>
        </w:rPr>
        <w:t>4</w:t>
      </w:r>
      <w:r>
        <w:rPr>
          <w:rFonts w:hint="eastAsia" w:ascii="仿宋_GB2312" w:hAnsi="仿宋_GB2312" w:eastAsia="仿宋_GB2312" w:cs="仿宋_GB2312"/>
        </w:rPr>
        <w:t>吨，保障农资供应。做好农技下乡服务，田间培训农民100人次，实施“粤菜师傅”培训工程，共开展面向农民技能培训班二期培训100人次，以赛促教，学员在全省2023年供销合作社系统“粤菜师傅”技能大赛中斩获三等奖1个、优秀奖2个。二是夯实粮食全程社会化服务体系基础</w:t>
      </w:r>
      <w:r>
        <w:rPr>
          <w:rFonts w:hint="eastAsia" w:ascii="仿宋_GB2312" w:hAnsi="仿宋_GB2312" w:eastAsia="仿宋_GB2312" w:cs="仿宋_GB2312"/>
          <w:lang w:eastAsia="zh-CN"/>
        </w:rPr>
        <w:t>，</w:t>
      </w:r>
      <w:r>
        <w:rPr>
          <w:rFonts w:hint="eastAsia" w:ascii="仿宋_GB2312" w:hAnsi="仿宋_GB2312" w:eastAsia="仿宋_GB2312" w:cs="仿宋_GB2312"/>
        </w:rPr>
        <w:t>积极推进潮安区供销烘干服务中心项目建设，可实现粮食最大烘干量60吨，将有效满足潮安区及周边地区中小型粮食种植户的粮食烘干需求，缓解周边烘干难题，提高粮食生产的综合经济效益和社会效益。</w:t>
      </w:r>
      <w:r>
        <w:rPr>
          <w:rFonts w:hint="eastAsia" w:eastAsia="仿宋_GB2312" w:cs="仿宋_GB2312"/>
          <w:lang w:val="en-US" w:eastAsia="zh-CN"/>
        </w:rPr>
        <w:t>三</w:t>
      </w:r>
      <w:r>
        <w:rPr>
          <w:rFonts w:hint="eastAsia" w:ascii="仿宋_GB2312" w:hAnsi="仿宋_GB2312" w:eastAsia="仿宋_GB2312" w:cs="仿宋_GB2312"/>
        </w:rPr>
        <w:t>是依托农产品直供配送子平台，面向学校、机关单位、企业开展集采集配、直供直销服务，打造农产品从田头到餐桌全产业链</w:t>
      </w:r>
      <w:r>
        <w:rPr>
          <w:rFonts w:hint="eastAsia" w:eastAsia="仿宋_GB2312" w:cs="仿宋_GB2312"/>
          <w:lang w:val="en-US" w:eastAsia="zh-CN"/>
        </w:rPr>
        <w:t>和</w:t>
      </w:r>
      <w:r>
        <w:rPr>
          <w:rFonts w:hint="eastAsia" w:ascii="仿宋_GB2312" w:hAnsi="仿宋_GB2312" w:eastAsia="仿宋_GB2312" w:cs="仿宋_GB2312"/>
        </w:rPr>
        <w:t>“菜园子”直通“菜篮子”全链条，满足城乡群众对农产品食品安全的需求，</w:t>
      </w:r>
      <w:r>
        <w:rPr>
          <w:rFonts w:hint="eastAsia" w:eastAsia="仿宋_GB2312" w:cs="仿宋_GB2312"/>
          <w:lang w:val="en-US" w:eastAsia="zh-CN"/>
        </w:rPr>
        <w:t>2023年共</w:t>
      </w:r>
      <w:r>
        <w:rPr>
          <w:rFonts w:hint="eastAsia" w:ascii="仿宋_GB2312" w:hAnsi="仿宋_GB2312" w:eastAsia="仿宋_GB2312" w:cs="仿宋_GB2312"/>
        </w:rPr>
        <w:t>直供配送销售额约900万元。</w:t>
      </w:r>
      <w:r>
        <w:rPr>
          <w:rFonts w:hint="eastAsia" w:eastAsia="仿宋_GB2312" w:cs="仿宋_GB2312"/>
          <w:lang w:val="en-US" w:eastAsia="zh-CN"/>
        </w:rPr>
        <w:t>四</w:t>
      </w:r>
      <w:r>
        <w:rPr>
          <w:rFonts w:hint="eastAsia" w:ascii="仿宋_GB2312" w:hAnsi="仿宋_GB2312" w:eastAsia="仿宋_GB2312" w:cs="仿宋_GB2312"/>
        </w:rPr>
        <w:t>是深入开展优质特色农产品出村进城服务，举办农产品集市活动1场，</w:t>
      </w:r>
      <w:r>
        <w:rPr>
          <w:rFonts w:hint="eastAsia" w:eastAsia="仿宋_GB2312" w:cs="仿宋_GB2312"/>
          <w:lang w:val="en-US" w:eastAsia="zh-CN"/>
        </w:rPr>
        <w:t>完成</w:t>
      </w:r>
      <w:r>
        <w:rPr>
          <w:rFonts w:hint="eastAsia" w:ascii="仿宋_GB2312" w:hAnsi="仿宋_GB2312" w:eastAsia="仿宋_GB2312" w:cs="仿宋_GB2312"/>
        </w:rPr>
        <w:t>供销系统首次成功举办的一次“供销大集”进社区活动，搭建起农产品产销对接平台，共吸引潮州、汕头、揭阳、汕尾、梅州、河源等6市供销系统共32家农副产品企业同台展现金秋时节五谷丰登、粮食满仓的丰收景象，有效拓展系统内外农产品交易</w:t>
      </w:r>
      <w:r>
        <w:rPr>
          <w:rFonts w:hint="eastAsia" w:eastAsia="仿宋_GB2312" w:cs="仿宋_GB2312"/>
          <w:lang w:eastAsia="zh-CN"/>
        </w:rPr>
        <w:t>，</w:t>
      </w:r>
      <w:r>
        <w:rPr>
          <w:rFonts w:hint="eastAsia" w:ascii="仿宋_GB2312" w:hAnsi="仿宋_GB2312" w:eastAsia="仿宋_GB2312" w:cs="仿宋_GB2312"/>
        </w:rPr>
        <w:t>参与农产品展销活动3场，引导社有企业使用品牌农产品，进一步推动本地茶叶、蜂蜜等农产品品种 培优、品质提升、品牌打造，带动产业发展。</w:t>
      </w:r>
    </w:p>
    <w:bookmarkEnd w:id="9"/>
    <w:bookmarkEnd w:id="10"/>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r>
        <w:rPr>
          <w:rFonts w:hint="eastAsia" w:ascii="黑体" w:hAnsi="黑体" w:eastAsia="黑体" w:cs="黑体"/>
          <w:lang w:val="en-US" w:eastAsia="zh-CN"/>
        </w:rPr>
        <w:t>四、存在问题</w:t>
      </w:r>
      <w:bookmarkStart w:id="11" w:name="_Toc12823507"/>
      <w:bookmarkStart w:id="12" w:name="_Toc528145413"/>
      <w:bookmarkStart w:id="13" w:name="_Toc2386"/>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lang w:val="en-US" w:eastAsia="zh-CN"/>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lang w:val="en-US" w:eastAsia="zh-CN"/>
        </w:rPr>
        <w:t>资产管理精细度有待进一步细化</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r>
        <w:rPr>
          <w:rFonts w:hint="eastAsia"/>
          <w:lang w:val="en-US" w:eastAsia="zh-CN"/>
        </w:rPr>
        <w:t>一是</w:t>
      </w:r>
      <w:r>
        <w:rPr>
          <w:rFonts w:hint="eastAsia"/>
        </w:rPr>
        <w:t>固定资产</w:t>
      </w:r>
      <w:r>
        <w:rPr>
          <w:rFonts w:hint="eastAsia"/>
          <w:lang w:val="en-US" w:eastAsia="zh-CN"/>
        </w:rPr>
        <w:t>日常</w:t>
      </w:r>
      <w:r>
        <w:rPr>
          <w:rFonts w:hint="eastAsia"/>
        </w:rPr>
        <w:t>管理不够规范，经现场抽查盘点固定资产发现，</w:t>
      </w:r>
      <w:r>
        <w:rPr>
          <w:rFonts w:hint="eastAsia"/>
          <w:lang w:val="en-US" w:eastAsia="zh-CN"/>
        </w:rPr>
        <w:t>发现部分资产存放地点与资产卡片登记信息不一致，部分已损坏资产未进行处置，部分资产未贴标签。二是资产管理制度不够具体，《潮安区供销社资产管理制度》对单位处置、出租出借要求仅说明按照区级办法执行，未对单位内部各部门职责、申报程序等进行详细规定</w:t>
      </w:r>
      <w:r>
        <w:rPr>
          <w:rFonts w:hint="eastAsia"/>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lang w:val="en-US" w:eastAsia="zh-CN"/>
        </w:rPr>
      </w:pPr>
      <w:r>
        <w:rPr>
          <w:rFonts w:hint="eastAsia" w:ascii="楷体" w:hAnsi="楷体" w:eastAsia="楷体" w:cs="楷体"/>
          <w:lang w:val="en-US" w:eastAsia="zh-CN"/>
        </w:rPr>
        <w:t>（二）绩效管理深度有待进一步加深</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r>
        <w:rPr>
          <w:rFonts w:hint="eastAsia"/>
          <w:lang w:val="en-US" w:eastAsia="zh-CN"/>
        </w:rPr>
        <w:t>一是未能充分发挥绩效目标的导向作用，年度工作计划中计划实现农业社会化服务规模14万亩次，农业面源污染防控面积1.4万亩，均未能达标；此外按照省供销社“粤菜师傅”培训安排是2023-2025年三年计划，但区供销社2023年部门整体支出绩效目标未针对“粤菜师傅”培训设置相关绩效目标。二是部分绩效指标设置不规范，例如设置定性指标“完善体制机制，深化供销社综合改革，努力推进乡村振兴工作”、“充分发挥供销社流通主渠道作用，实现农业生产性服务”等定性指标，指标冗长不明确，指标值也难以衡量，不利于部门对项目后续开展绩效监控和绩效评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r>
        <w:rPr>
          <w:rFonts w:hint="eastAsia" w:ascii="黑体" w:hAnsi="黑体" w:eastAsia="黑体" w:cs="黑体"/>
        </w:rPr>
        <w:t>五、</w:t>
      </w:r>
      <w:bookmarkEnd w:id="11"/>
      <w:bookmarkEnd w:id="12"/>
      <w:bookmarkEnd w:id="13"/>
      <w:r>
        <w:rPr>
          <w:rFonts w:hint="eastAsia" w:ascii="黑体" w:hAnsi="黑体" w:eastAsia="黑体" w:cs="黑体"/>
          <w:lang w:val="en-US" w:eastAsia="zh-CN"/>
        </w:rPr>
        <w:t>相关建议</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lang w:val="en-US" w:eastAsia="zh-CN"/>
        </w:rPr>
        <w:t>健全资产管理制度，</w:t>
      </w:r>
      <w:r>
        <w:rPr>
          <w:rFonts w:hint="eastAsia" w:ascii="楷体" w:hAnsi="楷体" w:eastAsia="楷体" w:cs="楷体"/>
          <w:lang w:eastAsia="zh-CN"/>
        </w:rPr>
        <w:t>强化固定资产信息化管理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r>
        <w:rPr>
          <w:rFonts w:hint="eastAsia"/>
          <w:lang w:val="en-US" w:eastAsia="zh-CN"/>
        </w:rPr>
        <w:t>一是结合区级现行资产管理制度，结合单位实际制定更加详细的资产处置管理办法，明确单位内部资产处置申报流程，明确资产管理职责到具体人，</w:t>
      </w:r>
      <w:r>
        <w:rPr>
          <w:rFonts w:hint="eastAsia"/>
        </w:rPr>
        <w:t>加强待报废固定资产的清理工作，及时完成资产处置工作，确保账实一致</w:t>
      </w:r>
      <w:r>
        <w:rPr>
          <w:rFonts w:hint="eastAsia"/>
          <w:lang w:val="en-US" w:eastAsia="zh-CN"/>
        </w:rPr>
        <w:t>。二是有效依托资产管理系统，</w:t>
      </w:r>
      <w:r>
        <w:rPr>
          <w:rFonts w:hint="eastAsia"/>
        </w:rPr>
        <w:t>加强资产管理信息系统的登记管理工作，及时更新新增、报废、处置等固定资产会计凭证号等信息录入工作，强化实物管理与价值管理相统一，资产管理与预算管理、财务管理相结合，确保国有资产的安全</w:t>
      </w:r>
      <w:r>
        <w:rPr>
          <w:rFonts w:hint="eastAsia"/>
          <w:lang w:val="en-US" w:eastAsia="zh-CN"/>
        </w:rPr>
        <w:t>完整。</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lang w:val="en-US" w:eastAsia="zh-CN"/>
        </w:rPr>
      </w:pP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w:t>
      </w:r>
      <w:r>
        <w:rPr>
          <w:rFonts w:hint="eastAsia" w:ascii="楷体" w:hAnsi="楷体" w:eastAsia="楷体" w:cs="楷体"/>
          <w:lang w:val="en-US" w:eastAsia="zh-CN"/>
        </w:rPr>
        <w:t>加强预算绩效管理，做实做透绩效目标</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r>
        <w:rPr>
          <w:rFonts w:hint="eastAsia"/>
          <w:lang w:val="en-US" w:eastAsia="zh-CN"/>
        </w:rPr>
        <w:t>一是</w:t>
      </w:r>
      <w:r>
        <w:rPr>
          <w:rFonts w:hint="eastAsia"/>
          <w:lang w:eastAsia="zh-CN"/>
        </w:rPr>
        <w:t>加强部门预算绩效管理，应强化绩效管理意识，</w:t>
      </w:r>
      <w:r>
        <w:rPr>
          <w:rFonts w:hint="eastAsia"/>
          <w:lang w:val="en-US" w:eastAsia="zh-CN"/>
        </w:rPr>
        <w:t>从绩效目标管理、绩效运行监控、绩效评价管理等方面</w:t>
      </w:r>
      <w:r>
        <w:rPr>
          <w:rFonts w:hint="eastAsia"/>
          <w:lang w:eastAsia="zh-CN"/>
        </w:rPr>
        <w:t>完善</w:t>
      </w:r>
      <w:r>
        <w:rPr>
          <w:rFonts w:hint="eastAsia"/>
          <w:lang w:val="en-US" w:eastAsia="zh-CN"/>
        </w:rPr>
        <w:t>绩效</w:t>
      </w:r>
      <w:r>
        <w:rPr>
          <w:rFonts w:hint="eastAsia"/>
          <w:lang w:eastAsia="zh-CN"/>
        </w:rPr>
        <w:t>部门绩效管理制度建设，进一步加强绩效管理对部门履职的指引和约束，有序推进部门预算绩效管理工作落实。</w:t>
      </w:r>
      <w:r>
        <w:rPr>
          <w:rFonts w:hint="eastAsia"/>
          <w:lang w:val="en-US" w:eastAsia="zh-CN"/>
        </w:rPr>
        <w:t>二是科学设置绩效目标，深化年度任务与绩效目标的关联性，聚焦部门核心业务，提炼可量化、可评价的绩效指标，将“部门语言”转化为“财政语言”。</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eastAsia="仿宋_GB2312"/>
          <w:lang w:val="en-US" w:eastAsia="zh-CN"/>
        </w:rPr>
      </w:pPr>
      <w:r>
        <w:rPr>
          <w:rFonts w:hint="eastAsia"/>
          <w:lang w:val="en-US" w:eastAsia="zh-CN"/>
        </w:rPr>
        <w:t>附件：绩效评价指标得分表</w:t>
      </w:r>
      <w:bookmarkStart w:id="14" w:name="_GoBack"/>
      <w:bookmarkEnd w:id="14"/>
    </w:p>
    <w:sectPr>
      <w:footerReference r:id="rId11" w:type="default"/>
      <w:footerReference r:id="rId12" w:type="even"/>
      <w:pgSz w:w="11907" w:h="16839"/>
      <w:pgMar w:top="2041" w:right="1418" w:bottom="1418" w:left="1531"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hint="eastAsia" w:eastAsia="仿宋_GB2312"/>
        <w:sz w:val="28"/>
        <w:szCs w:val="28"/>
      </w:rPr>
    </w:sdtEndPr>
    <w:sdtContent>
      <w:p>
        <w:pPr>
          <w:pStyle w:val="9"/>
          <w:ind w:firstLine="360"/>
          <w:jc w:val="right"/>
          <w:rPr>
            <w:rFonts w:eastAsia="仿宋_GB2312"/>
            <w:sz w:val="28"/>
            <w:szCs w:val="28"/>
          </w:rPr>
        </w:pPr>
        <w:r>
          <w:rPr>
            <w:rFonts w:hint="eastAsia" w:eastAsia="仿宋_GB2312"/>
            <w:sz w:val="28"/>
            <w:szCs w:val="28"/>
          </w:rPr>
          <w:fldChar w:fldCharType="begin"/>
        </w:r>
        <w:r>
          <w:rPr>
            <w:rFonts w:hint="eastAsia" w:eastAsia="仿宋_GB2312"/>
            <w:sz w:val="28"/>
            <w:szCs w:val="28"/>
          </w:rPr>
          <w:instrText xml:space="preserve">PAGE   \* MERGEFORMAT</w:instrText>
        </w:r>
        <w:r>
          <w:rPr>
            <w:rFonts w:hint="eastAsia" w:eastAsia="仿宋_GB2312"/>
            <w:sz w:val="28"/>
            <w:szCs w:val="28"/>
          </w:rPr>
          <w:fldChar w:fldCharType="separate"/>
        </w:r>
        <w:r>
          <w:rPr>
            <w:rFonts w:eastAsia="仿宋_GB2312"/>
            <w:sz w:val="28"/>
            <w:szCs w:val="28"/>
            <w:lang w:val="zh-CN"/>
          </w:rPr>
          <w:t>-</w:t>
        </w:r>
        <w:r>
          <w:rPr>
            <w:rFonts w:eastAsia="仿宋_GB2312"/>
            <w:sz w:val="28"/>
            <w:szCs w:val="28"/>
          </w:rPr>
          <w:t xml:space="preserve"> 75 -</w:t>
        </w:r>
        <w:r>
          <w:rPr>
            <w:rFonts w:hint="eastAsia" w:eastAsia="仿宋_GB2312"/>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147792"/>
    </w:sdtPr>
    <w:sdtEndPr>
      <w:rPr>
        <w:rFonts w:hint="eastAsia" w:eastAsia="仿宋_GB2312"/>
        <w:sz w:val="28"/>
        <w:szCs w:val="28"/>
      </w:rPr>
    </w:sdtEndPr>
    <w:sdtContent>
      <w:p>
        <w:pPr>
          <w:pStyle w:val="9"/>
          <w:ind w:firstLine="360"/>
          <w:rPr>
            <w:rFonts w:eastAsia="仿宋_GB2312"/>
            <w:sz w:val="28"/>
            <w:szCs w:val="28"/>
          </w:rPr>
        </w:pPr>
        <w:r>
          <w:rPr>
            <w:rFonts w:hint="eastAsia" w:eastAsia="仿宋_GB2312"/>
            <w:sz w:val="28"/>
            <w:szCs w:val="28"/>
          </w:rPr>
          <w:fldChar w:fldCharType="begin"/>
        </w:r>
        <w:r>
          <w:rPr>
            <w:rFonts w:hint="eastAsia" w:eastAsia="仿宋_GB2312"/>
            <w:sz w:val="28"/>
            <w:szCs w:val="28"/>
          </w:rPr>
          <w:instrText xml:space="preserve">PAGE   \* MERGEFORMAT</w:instrText>
        </w:r>
        <w:r>
          <w:rPr>
            <w:rFonts w:hint="eastAsia" w:eastAsia="仿宋_GB2312"/>
            <w:sz w:val="28"/>
            <w:szCs w:val="28"/>
          </w:rPr>
          <w:fldChar w:fldCharType="separate"/>
        </w:r>
        <w:r>
          <w:rPr>
            <w:rFonts w:eastAsia="仿宋_GB2312"/>
            <w:sz w:val="28"/>
            <w:szCs w:val="28"/>
            <w:lang w:val="zh-CN"/>
          </w:rPr>
          <w:t>-</w:t>
        </w:r>
        <w:r>
          <w:rPr>
            <w:rFonts w:eastAsia="仿宋_GB2312"/>
            <w:sz w:val="28"/>
            <w:szCs w:val="28"/>
          </w:rPr>
          <w:t xml:space="preserve"> 76 -</w:t>
        </w:r>
        <w:r>
          <w:rPr>
            <w:rFonts w:hint="eastAsia" w:eastAsia="仿宋_GB2312"/>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920C7"/>
    <w:multiLevelType w:val="singleLevel"/>
    <w:tmpl w:val="CC9920C7"/>
    <w:lvl w:ilvl="0" w:tentative="0">
      <w:start w:val="1"/>
      <w:numFmt w:val="decimal"/>
      <w:suff w:val="nothing"/>
      <w:lvlText w:val="（%1）"/>
      <w:lvlJc w:val="left"/>
    </w:lvl>
  </w:abstractNum>
  <w:abstractNum w:abstractNumId="1">
    <w:nsid w:val="1B57A55B"/>
    <w:multiLevelType w:val="singleLevel"/>
    <w:tmpl w:val="1B57A55B"/>
    <w:lvl w:ilvl="0" w:tentative="0">
      <w:start w:val="2"/>
      <w:numFmt w:val="chineseCounting"/>
      <w:suff w:val="nothing"/>
      <w:lvlText w:val="%1、"/>
      <w:lvlJc w:val="left"/>
      <w:rPr>
        <w:rFonts w:hint="eastAsia"/>
      </w:rPr>
    </w:lvl>
  </w:abstractNum>
  <w:abstractNum w:abstractNumId="2">
    <w:nsid w:val="6FF6C1AA"/>
    <w:multiLevelType w:val="singleLevel"/>
    <w:tmpl w:val="6FF6C1AA"/>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OWEyZDQzZmJhZTQzNjFmM2NmMDQ0ZDU5MGY3MmMifQ=="/>
  </w:docVars>
  <w:rsids>
    <w:rsidRoot w:val="00542EF6"/>
    <w:rsid w:val="00000FCD"/>
    <w:rsid w:val="000038F3"/>
    <w:rsid w:val="00006135"/>
    <w:rsid w:val="00025C77"/>
    <w:rsid w:val="000319C1"/>
    <w:rsid w:val="00034D72"/>
    <w:rsid w:val="00041179"/>
    <w:rsid w:val="00045383"/>
    <w:rsid w:val="00057798"/>
    <w:rsid w:val="000621AF"/>
    <w:rsid w:val="00063C8C"/>
    <w:rsid w:val="000651E1"/>
    <w:rsid w:val="0006535E"/>
    <w:rsid w:val="00071EF4"/>
    <w:rsid w:val="00077935"/>
    <w:rsid w:val="00084552"/>
    <w:rsid w:val="000855CF"/>
    <w:rsid w:val="00087B56"/>
    <w:rsid w:val="0009419D"/>
    <w:rsid w:val="000A2A91"/>
    <w:rsid w:val="000A50CB"/>
    <w:rsid w:val="000A7B2A"/>
    <w:rsid w:val="000B1006"/>
    <w:rsid w:val="000B6DB6"/>
    <w:rsid w:val="000C2395"/>
    <w:rsid w:val="000C27CF"/>
    <w:rsid w:val="000C737D"/>
    <w:rsid w:val="000D00FC"/>
    <w:rsid w:val="000D4DFB"/>
    <w:rsid w:val="000D6690"/>
    <w:rsid w:val="000D7B57"/>
    <w:rsid w:val="000E1F06"/>
    <w:rsid w:val="000E47A8"/>
    <w:rsid w:val="000E669B"/>
    <w:rsid w:val="000F549F"/>
    <w:rsid w:val="00120D01"/>
    <w:rsid w:val="00121D42"/>
    <w:rsid w:val="00123E37"/>
    <w:rsid w:val="00132816"/>
    <w:rsid w:val="00132D68"/>
    <w:rsid w:val="00135110"/>
    <w:rsid w:val="00137824"/>
    <w:rsid w:val="00140F77"/>
    <w:rsid w:val="00143656"/>
    <w:rsid w:val="00150DEC"/>
    <w:rsid w:val="001603EC"/>
    <w:rsid w:val="00160B28"/>
    <w:rsid w:val="00161397"/>
    <w:rsid w:val="00163DB2"/>
    <w:rsid w:val="00165598"/>
    <w:rsid w:val="00165BCE"/>
    <w:rsid w:val="001672B5"/>
    <w:rsid w:val="00173180"/>
    <w:rsid w:val="00175CCC"/>
    <w:rsid w:val="00177615"/>
    <w:rsid w:val="00190695"/>
    <w:rsid w:val="00190E33"/>
    <w:rsid w:val="001911AB"/>
    <w:rsid w:val="0019154B"/>
    <w:rsid w:val="001A2A65"/>
    <w:rsid w:val="001A3409"/>
    <w:rsid w:val="001A7690"/>
    <w:rsid w:val="001B4E53"/>
    <w:rsid w:val="001B7625"/>
    <w:rsid w:val="001C0C37"/>
    <w:rsid w:val="001C3BB3"/>
    <w:rsid w:val="001C40E4"/>
    <w:rsid w:val="001E0C10"/>
    <w:rsid w:val="001E5491"/>
    <w:rsid w:val="001F0A62"/>
    <w:rsid w:val="001F150B"/>
    <w:rsid w:val="001F2C30"/>
    <w:rsid w:val="001F61D0"/>
    <w:rsid w:val="001F7E02"/>
    <w:rsid w:val="00202CA1"/>
    <w:rsid w:val="00205ABE"/>
    <w:rsid w:val="00207760"/>
    <w:rsid w:val="00210157"/>
    <w:rsid w:val="0022338E"/>
    <w:rsid w:val="00224603"/>
    <w:rsid w:val="002276D8"/>
    <w:rsid w:val="002334DA"/>
    <w:rsid w:val="00235F58"/>
    <w:rsid w:val="00236396"/>
    <w:rsid w:val="00236D50"/>
    <w:rsid w:val="00241C80"/>
    <w:rsid w:val="00242C4F"/>
    <w:rsid w:val="0024404B"/>
    <w:rsid w:val="0025022C"/>
    <w:rsid w:val="00251BFA"/>
    <w:rsid w:val="00285EB4"/>
    <w:rsid w:val="00286E6E"/>
    <w:rsid w:val="002921B5"/>
    <w:rsid w:val="00295E27"/>
    <w:rsid w:val="002A5EE5"/>
    <w:rsid w:val="002A5F48"/>
    <w:rsid w:val="002C1085"/>
    <w:rsid w:val="002C5139"/>
    <w:rsid w:val="002D1D54"/>
    <w:rsid w:val="002E508A"/>
    <w:rsid w:val="002F2BBE"/>
    <w:rsid w:val="002F3846"/>
    <w:rsid w:val="002F54C8"/>
    <w:rsid w:val="003011A6"/>
    <w:rsid w:val="003157D4"/>
    <w:rsid w:val="00322B5E"/>
    <w:rsid w:val="00322DA3"/>
    <w:rsid w:val="00325582"/>
    <w:rsid w:val="0033300C"/>
    <w:rsid w:val="003409E0"/>
    <w:rsid w:val="00342232"/>
    <w:rsid w:val="003424DE"/>
    <w:rsid w:val="00343EBE"/>
    <w:rsid w:val="003452E5"/>
    <w:rsid w:val="0034562D"/>
    <w:rsid w:val="00347CCA"/>
    <w:rsid w:val="00351415"/>
    <w:rsid w:val="0035681B"/>
    <w:rsid w:val="003623FF"/>
    <w:rsid w:val="00381605"/>
    <w:rsid w:val="003A00C1"/>
    <w:rsid w:val="003A4071"/>
    <w:rsid w:val="003A58E9"/>
    <w:rsid w:val="003A64C9"/>
    <w:rsid w:val="003B1717"/>
    <w:rsid w:val="003B1910"/>
    <w:rsid w:val="003B38E8"/>
    <w:rsid w:val="003B5FB1"/>
    <w:rsid w:val="003B7F9A"/>
    <w:rsid w:val="003C1909"/>
    <w:rsid w:val="003C5F7C"/>
    <w:rsid w:val="003C693E"/>
    <w:rsid w:val="003C7088"/>
    <w:rsid w:val="003E28A3"/>
    <w:rsid w:val="003E50BC"/>
    <w:rsid w:val="003E7591"/>
    <w:rsid w:val="003E7A19"/>
    <w:rsid w:val="00403100"/>
    <w:rsid w:val="00410768"/>
    <w:rsid w:val="00411F72"/>
    <w:rsid w:val="00413E19"/>
    <w:rsid w:val="00414128"/>
    <w:rsid w:val="00426F01"/>
    <w:rsid w:val="00431808"/>
    <w:rsid w:val="00440C90"/>
    <w:rsid w:val="00455AB9"/>
    <w:rsid w:val="00460CA9"/>
    <w:rsid w:val="00461BDE"/>
    <w:rsid w:val="00462AAB"/>
    <w:rsid w:val="00467927"/>
    <w:rsid w:val="00467E5F"/>
    <w:rsid w:val="0047012C"/>
    <w:rsid w:val="00474F56"/>
    <w:rsid w:val="00477D9F"/>
    <w:rsid w:val="00483384"/>
    <w:rsid w:val="004840E4"/>
    <w:rsid w:val="0048750F"/>
    <w:rsid w:val="004B0499"/>
    <w:rsid w:val="004B1744"/>
    <w:rsid w:val="004B7C68"/>
    <w:rsid w:val="004D0C3D"/>
    <w:rsid w:val="004D17A7"/>
    <w:rsid w:val="004E15E4"/>
    <w:rsid w:val="004E26C4"/>
    <w:rsid w:val="004E495D"/>
    <w:rsid w:val="004E7251"/>
    <w:rsid w:val="004F4029"/>
    <w:rsid w:val="004F64D2"/>
    <w:rsid w:val="005104C8"/>
    <w:rsid w:val="00511261"/>
    <w:rsid w:val="0051426A"/>
    <w:rsid w:val="00515498"/>
    <w:rsid w:val="00516190"/>
    <w:rsid w:val="00521CF7"/>
    <w:rsid w:val="005242B5"/>
    <w:rsid w:val="00533E8C"/>
    <w:rsid w:val="0053499A"/>
    <w:rsid w:val="0053598A"/>
    <w:rsid w:val="00540EED"/>
    <w:rsid w:val="00542EF6"/>
    <w:rsid w:val="0054412B"/>
    <w:rsid w:val="005458C4"/>
    <w:rsid w:val="00546E78"/>
    <w:rsid w:val="00551697"/>
    <w:rsid w:val="00555418"/>
    <w:rsid w:val="00570563"/>
    <w:rsid w:val="00570C72"/>
    <w:rsid w:val="00574F2D"/>
    <w:rsid w:val="005808F9"/>
    <w:rsid w:val="00595414"/>
    <w:rsid w:val="00595461"/>
    <w:rsid w:val="005955F4"/>
    <w:rsid w:val="005A170E"/>
    <w:rsid w:val="005A3A22"/>
    <w:rsid w:val="005A5605"/>
    <w:rsid w:val="005A5CE9"/>
    <w:rsid w:val="005B1B52"/>
    <w:rsid w:val="005B2341"/>
    <w:rsid w:val="005B4815"/>
    <w:rsid w:val="005D2B71"/>
    <w:rsid w:val="005D56BE"/>
    <w:rsid w:val="005D5F00"/>
    <w:rsid w:val="005D6BBB"/>
    <w:rsid w:val="005F0B90"/>
    <w:rsid w:val="00601E5A"/>
    <w:rsid w:val="006072B6"/>
    <w:rsid w:val="00613FB3"/>
    <w:rsid w:val="006172BF"/>
    <w:rsid w:val="00621CF2"/>
    <w:rsid w:val="00622623"/>
    <w:rsid w:val="00624D62"/>
    <w:rsid w:val="00625C84"/>
    <w:rsid w:val="0062687A"/>
    <w:rsid w:val="00640EEC"/>
    <w:rsid w:val="00641111"/>
    <w:rsid w:val="00647046"/>
    <w:rsid w:val="00652F4D"/>
    <w:rsid w:val="006542D8"/>
    <w:rsid w:val="00660AE8"/>
    <w:rsid w:val="006905A8"/>
    <w:rsid w:val="00693479"/>
    <w:rsid w:val="006946C4"/>
    <w:rsid w:val="00695209"/>
    <w:rsid w:val="006C1B96"/>
    <w:rsid w:val="006C2AAD"/>
    <w:rsid w:val="006D2B2D"/>
    <w:rsid w:val="006F5983"/>
    <w:rsid w:val="006F7530"/>
    <w:rsid w:val="00700B38"/>
    <w:rsid w:val="007063D6"/>
    <w:rsid w:val="007177D3"/>
    <w:rsid w:val="0072108C"/>
    <w:rsid w:val="00723EFD"/>
    <w:rsid w:val="00732944"/>
    <w:rsid w:val="007442E6"/>
    <w:rsid w:val="00747DB6"/>
    <w:rsid w:val="00754189"/>
    <w:rsid w:val="00754CDC"/>
    <w:rsid w:val="00760A35"/>
    <w:rsid w:val="00763362"/>
    <w:rsid w:val="00763A9F"/>
    <w:rsid w:val="00764E57"/>
    <w:rsid w:val="007672EB"/>
    <w:rsid w:val="00775861"/>
    <w:rsid w:val="00775F8D"/>
    <w:rsid w:val="0079555E"/>
    <w:rsid w:val="007B0898"/>
    <w:rsid w:val="007B1873"/>
    <w:rsid w:val="007B27BE"/>
    <w:rsid w:val="007C6835"/>
    <w:rsid w:val="007E67CC"/>
    <w:rsid w:val="007F5CC9"/>
    <w:rsid w:val="007F7527"/>
    <w:rsid w:val="0080108A"/>
    <w:rsid w:val="00802589"/>
    <w:rsid w:val="00823903"/>
    <w:rsid w:val="008257F2"/>
    <w:rsid w:val="00825859"/>
    <w:rsid w:val="00827EA3"/>
    <w:rsid w:val="008339AF"/>
    <w:rsid w:val="008403D4"/>
    <w:rsid w:val="00854DE4"/>
    <w:rsid w:val="00857F07"/>
    <w:rsid w:val="00860779"/>
    <w:rsid w:val="0086561D"/>
    <w:rsid w:val="00871C8C"/>
    <w:rsid w:val="008827ED"/>
    <w:rsid w:val="008828B9"/>
    <w:rsid w:val="00883627"/>
    <w:rsid w:val="00890863"/>
    <w:rsid w:val="008939F0"/>
    <w:rsid w:val="008A2D5D"/>
    <w:rsid w:val="008A3D48"/>
    <w:rsid w:val="008A493E"/>
    <w:rsid w:val="008B06E0"/>
    <w:rsid w:val="008B16BC"/>
    <w:rsid w:val="008B2448"/>
    <w:rsid w:val="008B388C"/>
    <w:rsid w:val="008C64E6"/>
    <w:rsid w:val="008D568A"/>
    <w:rsid w:val="008E307C"/>
    <w:rsid w:val="008E7452"/>
    <w:rsid w:val="008F0E3C"/>
    <w:rsid w:val="00901B13"/>
    <w:rsid w:val="00911888"/>
    <w:rsid w:val="00915DD9"/>
    <w:rsid w:val="00926F28"/>
    <w:rsid w:val="00927AD0"/>
    <w:rsid w:val="00930CB2"/>
    <w:rsid w:val="00943454"/>
    <w:rsid w:val="009466AD"/>
    <w:rsid w:val="009467EE"/>
    <w:rsid w:val="00951B37"/>
    <w:rsid w:val="00955F31"/>
    <w:rsid w:val="009611CC"/>
    <w:rsid w:val="009613DF"/>
    <w:rsid w:val="00964C9A"/>
    <w:rsid w:val="00980DF6"/>
    <w:rsid w:val="009810EA"/>
    <w:rsid w:val="009836B2"/>
    <w:rsid w:val="009912A6"/>
    <w:rsid w:val="0099184D"/>
    <w:rsid w:val="009927DA"/>
    <w:rsid w:val="00995F78"/>
    <w:rsid w:val="009A137C"/>
    <w:rsid w:val="009B495E"/>
    <w:rsid w:val="009C165D"/>
    <w:rsid w:val="009C34B9"/>
    <w:rsid w:val="009C6422"/>
    <w:rsid w:val="009D26D3"/>
    <w:rsid w:val="009D69BA"/>
    <w:rsid w:val="009F032A"/>
    <w:rsid w:val="009F3915"/>
    <w:rsid w:val="009F3FB9"/>
    <w:rsid w:val="009F619F"/>
    <w:rsid w:val="00A10FF3"/>
    <w:rsid w:val="00A12967"/>
    <w:rsid w:val="00A170A0"/>
    <w:rsid w:val="00A36725"/>
    <w:rsid w:val="00A4004B"/>
    <w:rsid w:val="00A40716"/>
    <w:rsid w:val="00A41859"/>
    <w:rsid w:val="00A46A52"/>
    <w:rsid w:val="00A4709F"/>
    <w:rsid w:val="00A54E99"/>
    <w:rsid w:val="00A77F0C"/>
    <w:rsid w:val="00A90F1C"/>
    <w:rsid w:val="00A90F8B"/>
    <w:rsid w:val="00A9396C"/>
    <w:rsid w:val="00AA0025"/>
    <w:rsid w:val="00AA1E40"/>
    <w:rsid w:val="00AA5268"/>
    <w:rsid w:val="00AB2191"/>
    <w:rsid w:val="00AB2C38"/>
    <w:rsid w:val="00AB4491"/>
    <w:rsid w:val="00AC24E8"/>
    <w:rsid w:val="00AD2558"/>
    <w:rsid w:val="00AD5E01"/>
    <w:rsid w:val="00AE51D0"/>
    <w:rsid w:val="00AF1970"/>
    <w:rsid w:val="00B1666F"/>
    <w:rsid w:val="00B311C8"/>
    <w:rsid w:val="00B31FC0"/>
    <w:rsid w:val="00B36920"/>
    <w:rsid w:val="00B37E24"/>
    <w:rsid w:val="00B40420"/>
    <w:rsid w:val="00B42A8A"/>
    <w:rsid w:val="00B45A4D"/>
    <w:rsid w:val="00B51F7E"/>
    <w:rsid w:val="00B612D1"/>
    <w:rsid w:val="00B6229B"/>
    <w:rsid w:val="00B64E1D"/>
    <w:rsid w:val="00B664C9"/>
    <w:rsid w:val="00B85A53"/>
    <w:rsid w:val="00B92C5D"/>
    <w:rsid w:val="00B935B0"/>
    <w:rsid w:val="00BA0802"/>
    <w:rsid w:val="00BA1A66"/>
    <w:rsid w:val="00BB59B3"/>
    <w:rsid w:val="00BD4308"/>
    <w:rsid w:val="00BE4AB4"/>
    <w:rsid w:val="00BF377B"/>
    <w:rsid w:val="00BF4AFE"/>
    <w:rsid w:val="00C020BD"/>
    <w:rsid w:val="00C10776"/>
    <w:rsid w:val="00C13461"/>
    <w:rsid w:val="00C158F6"/>
    <w:rsid w:val="00C226CE"/>
    <w:rsid w:val="00C42F7D"/>
    <w:rsid w:val="00C4453E"/>
    <w:rsid w:val="00C44EE1"/>
    <w:rsid w:val="00C53A4D"/>
    <w:rsid w:val="00C54818"/>
    <w:rsid w:val="00C70838"/>
    <w:rsid w:val="00C72DF8"/>
    <w:rsid w:val="00C72F57"/>
    <w:rsid w:val="00C775D2"/>
    <w:rsid w:val="00C82E41"/>
    <w:rsid w:val="00CA2971"/>
    <w:rsid w:val="00CA5B12"/>
    <w:rsid w:val="00CC44B3"/>
    <w:rsid w:val="00CE02DF"/>
    <w:rsid w:val="00CE3AD0"/>
    <w:rsid w:val="00CE4CEB"/>
    <w:rsid w:val="00CF0355"/>
    <w:rsid w:val="00CF058E"/>
    <w:rsid w:val="00CF1339"/>
    <w:rsid w:val="00CF4CB3"/>
    <w:rsid w:val="00D060C5"/>
    <w:rsid w:val="00D067D5"/>
    <w:rsid w:val="00D157E2"/>
    <w:rsid w:val="00D15CE1"/>
    <w:rsid w:val="00D17439"/>
    <w:rsid w:val="00D21BB3"/>
    <w:rsid w:val="00D23BFC"/>
    <w:rsid w:val="00D24E66"/>
    <w:rsid w:val="00D27E54"/>
    <w:rsid w:val="00D40E2A"/>
    <w:rsid w:val="00D43DE6"/>
    <w:rsid w:val="00D46114"/>
    <w:rsid w:val="00D46E8C"/>
    <w:rsid w:val="00D51D64"/>
    <w:rsid w:val="00D52701"/>
    <w:rsid w:val="00D5339E"/>
    <w:rsid w:val="00D53786"/>
    <w:rsid w:val="00D55005"/>
    <w:rsid w:val="00D6784B"/>
    <w:rsid w:val="00D73C35"/>
    <w:rsid w:val="00D7666D"/>
    <w:rsid w:val="00D8076B"/>
    <w:rsid w:val="00D833C9"/>
    <w:rsid w:val="00D86811"/>
    <w:rsid w:val="00D876A2"/>
    <w:rsid w:val="00D91C14"/>
    <w:rsid w:val="00D9312B"/>
    <w:rsid w:val="00D97089"/>
    <w:rsid w:val="00D97F45"/>
    <w:rsid w:val="00DA795B"/>
    <w:rsid w:val="00DA7D22"/>
    <w:rsid w:val="00DB3D02"/>
    <w:rsid w:val="00DC5BAB"/>
    <w:rsid w:val="00DC5CA0"/>
    <w:rsid w:val="00DD0B2F"/>
    <w:rsid w:val="00DD35D6"/>
    <w:rsid w:val="00DD5FD2"/>
    <w:rsid w:val="00DE1729"/>
    <w:rsid w:val="00DE35D9"/>
    <w:rsid w:val="00DE5033"/>
    <w:rsid w:val="00DF32B5"/>
    <w:rsid w:val="00DF7305"/>
    <w:rsid w:val="00DF7EC9"/>
    <w:rsid w:val="00E01A61"/>
    <w:rsid w:val="00E07449"/>
    <w:rsid w:val="00E12B25"/>
    <w:rsid w:val="00E25CDE"/>
    <w:rsid w:val="00E4145E"/>
    <w:rsid w:val="00E41D29"/>
    <w:rsid w:val="00E4652A"/>
    <w:rsid w:val="00E46792"/>
    <w:rsid w:val="00E46EA6"/>
    <w:rsid w:val="00E512A0"/>
    <w:rsid w:val="00E566F7"/>
    <w:rsid w:val="00E60325"/>
    <w:rsid w:val="00E8181D"/>
    <w:rsid w:val="00E858A0"/>
    <w:rsid w:val="00E902D1"/>
    <w:rsid w:val="00E93221"/>
    <w:rsid w:val="00E95C98"/>
    <w:rsid w:val="00E96CE8"/>
    <w:rsid w:val="00EA0C1A"/>
    <w:rsid w:val="00EA1FAF"/>
    <w:rsid w:val="00EA37EB"/>
    <w:rsid w:val="00EA5912"/>
    <w:rsid w:val="00EA79CB"/>
    <w:rsid w:val="00EB208D"/>
    <w:rsid w:val="00EB3317"/>
    <w:rsid w:val="00EC736C"/>
    <w:rsid w:val="00ED119F"/>
    <w:rsid w:val="00ED20A0"/>
    <w:rsid w:val="00ED411F"/>
    <w:rsid w:val="00ED45AA"/>
    <w:rsid w:val="00EE3489"/>
    <w:rsid w:val="00EE4695"/>
    <w:rsid w:val="00EE55DB"/>
    <w:rsid w:val="00EF2CBF"/>
    <w:rsid w:val="00EF3992"/>
    <w:rsid w:val="00EF4A3A"/>
    <w:rsid w:val="00F023B3"/>
    <w:rsid w:val="00F047A4"/>
    <w:rsid w:val="00F0487F"/>
    <w:rsid w:val="00F06DD3"/>
    <w:rsid w:val="00F10A8C"/>
    <w:rsid w:val="00F224AF"/>
    <w:rsid w:val="00F22E35"/>
    <w:rsid w:val="00F23F11"/>
    <w:rsid w:val="00F277C6"/>
    <w:rsid w:val="00F27D5E"/>
    <w:rsid w:val="00F33A00"/>
    <w:rsid w:val="00F426F0"/>
    <w:rsid w:val="00F63FFA"/>
    <w:rsid w:val="00F6480B"/>
    <w:rsid w:val="00F66F4E"/>
    <w:rsid w:val="00F67790"/>
    <w:rsid w:val="00F7191A"/>
    <w:rsid w:val="00F76406"/>
    <w:rsid w:val="00F83DBF"/>
    <w:rsid w:val="00F90193"/>
    <w:rsid w:val="00F91E55"/>
    <w:rsid w:val="00F94B7C"/>
    <w:rsid w:val="00F94D5A"/>
    <w:rsid w:val="00F95FC4"/>
    <w:rsid w:val="00FA1083"/>
    <w:rsid w:val="00FA15EA"/>
    <w:rsid w:val="00FA1923"/>
    <w:rsid w:val="00FA31F5"/>
    <w:rsid w:val="00FB2723"/>
    <w:rsid w:val="00FB7F49"/>
    <w:rsid w:val="00FC4EAF"/>
    <w:rsid w:val="00FE1961"/>
    <w:rsid w:val="00FE3376"/>
    <w:rsid w:val="00FF2E81"/>
    <w:rsid w:val="00FF54E8"/>
    <w:rsid w:val="03C03F5E"/>
    <w:rsid w:val="05037CDE"/>
    <w:rsid w:val="05727DE0"/>
    <w:rsid w:val="067D6C93"/>
    <w:rsid w:val="076A7435"/>
    <w:rsid w:val="0BBA6A72"/>
    <w:rsid w:val="0EC147E4"/>
    <w:rsid w:val="117A2707"/>
    <w:rsid w:val="11ED548E"/>
    <w:rsid w:val="12AD13EA"/>
    <w:rsid w:val="14EE1283"/>
    <w:rsid w:val="168E2A1C"/>
    <w:rsid w:val="17BE491B"/>
    <w:rsid w:val="1FF00D2D"/>
    <w:rsid w:val="23DD041F"/>
    <w:rsid w:val="258B38CA"/>
    <w:rsid w:val="27FFBEDF"/>
    <w:rsid w:val="2A756A61"/>
    <w:rsid w:val="2B4216E7"/>
    <w:rsid w:val="2CCD7D06"/>
    <w:rsid w:val="32F25140"/>
    <w:rsid w:val="33C20324"/>
    <w:rsid w:val="377753DC"/>
    <w:rsid w:val="3ADA6849"/>
    <w:rsid w:val="3BAF1152"/>
    <w:rsid w:val="3BBB4789"/>
    <w:rsid w:val="3CE65824"/>
    <w:rsid w:val="443E2BC0"/>
    <w:rsid w:val="44993A52"/>
    <w:rsid w:val="48B85957"/>
    <w:rsid w:val="4A9D0A1C"/>
    <w:rsid w:val="4F3D582C"/>
    <w:rsid w:val="4F9607B9"/>
    <w:rsid w:val="546C24B2"/>
    <w:rsid w:val="563E3C07"/>
    <w:rsid w:val="5A2A561B"/>
    <w:rsid w:val="5A7B3DB9"/>
    <w:rsid w:val="630C60D2"/>
    <w:rsid w:val="6C0F2F34"/>
    <w:rsid w:val="6CC907CA"/>
    <w:rsid w:val="6D8804D9"/>
    <w:rsid w:val="6FAECB26"/>
    <w:rsid w:val="76F254F6"/>
    <w:rsid w:val="7BDD8C37"/>
    <w:rsid w:val="7CE32EB2"/>
    <w:rsid w:val="997F2693"/>
    <w:rsid w:val="FDFF0C1F"/>
    <w:rsid w:val="FF7D8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22"/>
    <w:qFormat/>
    <w:uiPriority w:val="9"/>
    <w:pPr>
      <w:keepNext/>
      <w:keepLines/>
      <w:outlineLvl w:val="0"/>
    </w:pPr>
    <w:rPr>
      <w:rFonts w:eastAsia="黑体"/>
      <w:bCs/>
      <w:kern w:val="44"/>
      <w:szCs w:val="44"/>
    </w:rPr>
  </w:style>
  <w:style w:type="paragraph" w:styleId="3">
    <w:name w:val="heading 2"/>
    <w:basedOn w:val="1"/>
    <w:next w:val="1"/>
    <w:link w:val="23"/>
    <w:unhideWhenUsed/>
    <w:qFormat/>
    <w:uiPriority w:val="9"/>
    <w:pPr>
      <w:keepNext/>
      <w:keepLines/>
      <w:outlineLvl w:val="1"/>
    </w:pPr>
    <w:rPr>
      <w:rFonts w:eastAsia="楷体_GB2312" w:asciiTheme="majorHAnsi" w:hAnsiTheme="majorHAnsi" w:cstheme="majorBidi"/>
      <w:b/>
      <w:bCs/>
      <w:szCs w:val="32"/>
    </w:rPr>
  </w:style>
  <w:style w:type="paragraph" w:styleId="4">
    <w:name w:val="heading 3"/>
    <w:basedOn w:val="1"/>
    <w:next w:val="1"/>
    <w:link w:val="25"/>
    <w:unhideWhenUsed/>
    <w:qFormat/>
    <w:uiPriority w:val="9"/>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unhideWhenUsed/>
    <w:qFormat/>
    <w:uiPriority w:val="35"/>
    <w:pPr>
      <w:spacing w:line="240" w:lineRule="auto"/>
      <w:ind w:firstLine="0" w:firstLineChars="0"/>
      <w:jc w:val="center"/>
    </w:pPr>
    <w:rPr>
      <w:rFonts w:eastAsia="黑体" w:asciiTheme="majorHAnsi" w:hAnsiTheme="majorHAnsi" w:cstheme="majorBidi"/>
      <w:sz w:val="28"/>
      <w:szCs w:val="20"/>
    </w:rPr>
  </w:style>
  <w:style w:type="paragraph" w:styleId="6">
    <w:name w:val="annotation text"/>
    <w:basedOn w:val="1"/>
    <w:link w:val="32"/>
    <w:semiHidden/>
    <w:qFormat/>
    <w:uiPriority w:val="0"/>
    <w:pPr>
      <w:jc w:val="left"/>
    </w:pPr>
    <w:rPr>
      <w:rFonts w:hAnsi="Calibri" w:cs="Times New Roman"/>
    </w:rPr>
  </w:style>
  <w:style w:type="paragraph" w:styleId="7">
    <w:name w:val="toc 3"/>
    <w:basedOn w:val="1"/>
    <w:next w:val="1"/>
    <w:unhideWhenUsed/>
    <w:qFormat/>
    <w:uiPriority w:val="39"/>
    <w:pPr>
      <w:ind w:left="200" w:leftChars="200"/>
    </w:pPr>
  </w:style>
  <w:style w:type="paragraph" w:styleId="8">
    <w:name w:val="Balloon Text"/>
    <w:basedOn w:val="1"/>
    <w:link w:val="29"/>
    <w:semiHidden/>
    <w:unhideWhenUsed/>
    <w:qFormat/>
    <w:uiPriority w:val="99"/>
    <w:pPr>
      <w:spacing w:line="240" w:lineRule="auto"/>
    </w:pPr>
    <w:rPr>
      <w:sz w:val="18"/>
      <w:szCs w:val="18"/>
    </w:rPr>
  </w:style>
  <w:style w:type="paragraph" w:styleId="9">
    <w:name w:val="footer"/>
    <w:basedOn w:val="1"/>
    <w:link w:val="26"/>
    <w:unhideWhenUsed/>
    <w:qFormat/>
    <w:uiPriority w:val="0"/>
    <w:pPr>
      <w:tabs>
        <w:tab w:val="center" w:pos="4153"/>
        <w:tab w:val="right" w:pos="8306"/>
      </w:tabs>
      <w:snapToGrid w:val="0"/>
      <w:jc w:val="left"/>
    </w:pPr>
    <w:rPr>
      <w:rFonts w:eastAsiaTheme="minorEastAsia"/>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ind w:firstLine="0" w:firstLineChars="0"/>
    </w:pPr>
    <w:rPr>
      <w:rFonts w:eastAsia="黑体"/>
    </w:rPr>
  </w:style>
  <w:style w:type="paragraph" w:styleId="12">
    <w:name w:val="footnote text"/>
    <w:basedOn w:val="1"/>
    <w:link w:val="31"/>
    <w:semiHidden/>
    <w:unhideWhenUsed/>
    <w:qFormat/>
    <w:uiPriority w:val="99"/>
    <w:pPr>
      <w:adjustRightInd w:val="0"/>
      <w:snapToGrid w:val="0"/>
      <w:jc w:val="left"/>
    </w:pPr>
    <w:rPr>
      <w:sz w:val="18"/>
      <w:szCs w:val="18"/>
    </w:rPr>
  </w:style>
  <w:style w:type="paragraph" w:styleId="13">
    <w:name w:val="toc 2"/>
    <w:basedOn w:val="1"/>
    <w:next w:val="1"/>
    <w:unhideWhenUsed/>
    <w:qFormat/>
    <w:uiPriority w:val="39"/>
    <w:rPr>
      <w:rFonts w:eastAsia="楷体_GB2312"/>
    </w:rPr>
  </w:style>
  <w:style w:type="paragraph" w:styleId="14">
    <w:name w:val="Title"/>
    <w:basedOn w:val="1"/>
    <w:next w:val="1"/>
    <w:link w:val="24"/>
    <w:qFormat/>
    <w:uiPriority w:val="10"/>
    <w:pPr>
      <w:jc w:val="center"/>
      <w:outlineLvl w:val="2"/>
    </w:pPr>
    <w:rPr>
      <w:rFonts w:asciiTheme="majorHAnsi" w:hAnsiTheme="majorHAnsi" w:cstheme="majorBidi"/>
      <w:b/>
      <w:bCs/>
      <w:szCs w:val="32"/>
    </w:rPr>
  </w:style>
  <w:style w:type="paragraph" w:styleId="15">
    <w:name w:val="annotation subject"/>
    <w:basedOn w:val="6"/>
    <w:next w:val="6"/>
    <w:link w:val="33"/>
    <w:semiHidden/>
    <w:unhideWhenUsed/>
    <w:qFormat/>
    <w:uiPriority w:val="99"/>
    <w:rPr>
      <w:rFonts w:asciiTheme="minorHAnsi" w:hAnsiTheme="minorHAnsi" w:cstheme="minorBidi"/>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semiHidden/>
    <w:qFormat/>
    <w:uiPriority w:val="0"/>
    <w:rPr>
      <w:sz w:val="21"/>
      <w:szCs w:val="21"/>
    </w:rPr>
  </w:style>
  <w:style w:type="character" w:styleId="21">
    <w:name w:val="footnote reference"/>
    <w:basedOn w:val="18"/>
    <w:semiHidden/>
    <w:unhideWhenUsed/>
    <w:qFormat/>
    <w:uiPriority w:val="99"/>
    <w:rPr>
      <w:vertAlign w:val="superscript"/>
    </w:rPr>
  </w:style>
  <w:style w:type="character" w:customStyle="1" w:styleId="22">
    <w:name w:val="标题 1 Char"/>
    <w:basedOn w:val="18"/>
    <w:link w:val="2"/>
    <w:qFormat/>
    <w:uiPriority w:val="9"/>
    <w:rPr>
      <w:rFonts w:eastAsia="黑体"/>
      <w:bCs/>
      <w:kern w:val="44"/>
      <w:sz w:val="32"/>
      <w:szCs w:val="44"/>
    </w:rPr>
  </w:style>
  <w:style w:type="character" w:customStyle="1" w:styleId="23">
    <w:name w:val="标题 2 Char"/>
    <w:basedOn w:val="18"/>
    <w:link w:val="3"/>
    <w:qFormat/>
    <w:uiPriority w:val="9"/>
    <w:rPr>
      <w:rFonts w:eastAsia="楷体_GB2312" w:asciiTheme="majorHAnsi" w:hAnsiTheme="majorHAnsi" w:cstheme="majorBidi"/>
      <w:b/>
      <w:bCs/>
      <w:sz w:val="32"/>
      <w:szCs w:val="32"/>
    </w:rPr>
  </w:style>
  <w:style w:type="character" w:customStyle="1" w:styleId="24">
    <w:name w:val="标题 Char"/>
    <w:basedOn w:val="18"/>
    <w:link w:val="14"/>
    <w:qFormat/>
    <w:uiPriority w:val="10"/>
    <w:rPr>
      <w:rFonts w:eastAsia="仿宋_GB2312" w:asciiTheme="majorHAnsi" w:hAnsiTheme="majorHAnsi" w:cstheme="majorBidi"/>
      <w:b/>
      <w:bCs/>
      <w:sz w:val="32"/>
      <w:szCs w:val="32"/>
    </w:rPr>
  </w:style>
  <w:style w:type="character" w:customStyle="1" w:styleId="25">
    <w:name w:val="标题 3 Char"/>
    <w:basedOn w:val="18"/>
    <w:link w:val="4"/>
    <w:qFormat/>
    <w:uiPriority w:val="9"/>
    <w:rPr>
      <w:rFonts w:eastAsia="仿宋_GB2312"/>
      <w:b/>
      <w:bCs/>
      <w:sz w:val="32"/>
      <w:szCs w:val="32"/>
    </w:rPr>
  </w:style>
  <w:style w:type="character" w:customStyle="1" w:styleId="26">
    <w:name w:val="页脚 Char"/>
    <w:link w:val="9"/>
    <w:qFormat/>
    <w:uiPriority w:val="99"/>
    <w:rPr>
      <w:sz w:val="18"/>
      <w:szCs w:val="18"/>
    </w:rPr>
  </w:style>
  <w:style w:type="character" w:customStyle="1" w:styleId="27">
    <w:name w:val="页脚 Char1"/>
    <w:basedOn w:val="18"/>
    <w:semiHidden/>
    <w:qFormat/>
    <w:uiPriority w:val="99"/>
    <w:rPr>
      <w:rFonts w:eastAsia="仿宋_GB2312"/>
      <w:sz w:val="18"/>
      <w:szCs w:val="18"/>
    </w:rPr>
  </w:style>
  <w:style w:type="paragraph" w:styleId="28">
    <w:name w:val="List Paragraph"/>
    <w:basedOn w:val="1"/>
    <w:qFormat/>
    <w:uiPriority w:val="34"/>
    <w:pPr>
      <w:ind w:firstLine="420"/>
    </w:pPr>
  </w:style>
  <w:style w:type="character" w:customStyle="1" w:styleId="29">
    <w:name w:val="批注框文本 Char"/>
    <w:basedOn w:val="18"/>
    <w:link w:val="8"/>
    <w:semiHidden/>
    <w:qFormat/>
    <w:uiPriority w:val="99"/>
    <w:rPr>
      <w:rFonts w:eastAsia="仿宋_GB2312"/>
      <w:sz w:val="18"/>
      <w:szCs w:val="18"/>
    </w:rPr>
  </w:style>
  <w:style w:type="character" w:customStyle="1" w:styleId="30">
    <w:name w:val="页眉 Char"/>
    <w:basedOn w:val="18"/>
    <w:link w:val="10"/>
    <w:qFormat/>
    <w:uiPriority w:val="99"/>
    <w:rPr>
      <w:rFonts w:eastAsia="仿宋_GB2312"/>
      <w:sz w:val="18"/>
      <w:szCs w:val="18"/>
    </w:rPr>
  </w:style>
  <w:style w:type="character" w:customStyle="1" w:styleId="31">
    <w:name w:val="脚注文本 Char"/>
    <w:basedOn w:val="18"/>
    <w:link w:val="12"/>
    <w:semiHidden/>
    <w:qFormat/>
    <w:uiPriority w:val="99"/>
    <w:rPr>
      <w:rFonts w:eastAsia="仿宋_GB2312"/>
      <w:sz w:val="18"/>
      <w:szCs w:val="18"/>
    </w:rPr>
  </w:style>
  <w:style w:type="character" w:customStyle="1" w:styleId="32">
    <w:name w:val="批注文字 Char"/>
    <w:basedOn w:val="18"/>
    <w:link w:val="6"/>
    <w:semiHidden/>
    <w:qFormat/>
    <w:uiPriority w:val="0"/>
    <w:rPr>
      <w:rFonts w:ascii="仿宋_GB2312" w:hAnsi="Calibri" w:eastAsia="仿宋_GB2312" w:cs="Times New Roman"/>
      <w:sz w:val="32"/>
    </w:rPr>
  </w:style>
  <w:style w:type="character" w:customStyle="1" w:styleId="33">
    <w:name w:val="批注主题 Char"/>
    <w:basedOn w:val="32"/>
    <w:link w:val="15"/>
    <w:semiHidden/>
    <w:qFormat/>
    <w:uiPriority w:val="99"/>
    <w:rPr>
      <w:rFonts w:ascii="仿宋_GB2312" w:hAnsi="Calibri" w:eastAsia="仿宋_GB2312" w:cs="Times New Roman"/>
      <w:b/>
      <w:bCs/>
      <w:sz w:val="32"/>
    </w:rPr>
  </w:style>
  <w:style w:type="paragraph" w:customStyle="1" w:styleId="34">
    <w:name w:val="Char1 Char Char Char Char Char Char"/>
    <w:basedOn w:val="1"/>
    <w:qFormat/>
    <w:uiPriority w:val="0"/>
    <w:pPr>
      <w:autoSpaceDE w:val="0"/>
      <w:autoSpaceDN w:val="0"/>
      <w:spacing w:line="240" w:lineRule="auto"/>
      <w:ind w:firstLine="0" w:firstLineChars="0"/>
    </w:pPr>
    <w:rPr>
      <w:rFonts w:ascii="Calibri" w:hAnsi="Calibri"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5914</Words>
  <Characters>33716</Characters>
  <Lines>280</Lines>
  <Paragraphs>79</Paragraphs>
  <TotalTime>6</TotalTime>
  <ScaleCrop>false</ScaleCrop>
  <LinksUpToDate>false</LinksUpToDate>
  <CharactersWithSpaces>39551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2021-09-19T01:43:00Z</dcterms:created>
  <dc:creator>wenlu</dc:creator>
  <cp:lastModifiedBy>Lynn666</cp:lastModifiedBy>
  <cp:lastPrinted>2020-12-02T09:13:00Z</cp:lastPrinted>
  <dcterms:modified xsi:type="dcterms:W3CDTF">2025-01-09T02:12:38Z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04AA3D32546703932E3164676724747E_42</vt:lpwstr>
  </property>
</Properties>
</file>