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中共潮州市潮安区委党校202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0" w:firstLineChars="0"/>
        <w:jc w:val="center"/>
        <w:textAlignment w:val="auto"/>
        <w:rPr>
          <w:rFonts w:hint="eastAsia" w:ascii="黑体" w:hAnsi="黑体" w:eastAsia="黑体" w:cs="黑体"/>
          <w:sz w:val="32"/>
          <w:szCs w:val="32"/>
          <w:lang w:eastAsia="zh-CN"/>
        </w:rPr>
      </w:pPr>
      <w:r>
        <w:rPr>
          <w:rFonts w:hint="eastAsia" w:ascii="方正小标宋_GBK" w:eastAsia="方正小标宋_GBK"/>
          <w:sz w:val="44"/>
          <w:szCs w:val="44"/>
        </w:rPr>
        <w:t>部门整体支出绩效评价报告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一、评价部门概要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rPr>
        <w:t>中共潮州市潮安区委党校（以下简称</w:t>
      </w:r>
      <w:r>
        <w:rPr>
          <w:rFonts w:hint="eastAsia" w:ascii="仿宋_GB2312" w:hAnsi="仿宋_GB2312" w:eastAsia="仿宋_GB2312" w:cs="仿宋_GB2312"/>
          <w:sz w:val="32"/>
          <w:highlight w:val="none"/>
          <w:lang w:eastAsia="zh-CN"/>
        </w:rPr>
        <w:t>区委党校</w:t>
      </w:r>
      <w:r>
        <w:rPr>
          <w:rFonts w:hint="eastAsia" w:ascii="仿宋_GB2312" w:hAnsi="仿宋_GB2312" w:eastAsia="仿宋_GB2312" w:cs="仿宋_GB2312"/>
          <w:sz w:val="32"/>
          <w:highlight w:val="none"/>
        </w:rPr>
        <w:t>）为潮安区委领导管理的正科级参照公务员法管理的事业单位，是区委培养党员领导干部和理论干部的学校</w:t>
      </w:r>
      <w:r>
        <w:rPr>
          <w:rFonts w:hint="eastAsia" w:ascii="仿宋_GB2312" w:hAnsi="仿宋_GB2312" w:eastAsia="仿宋_GB2312" w:cs="仿宋_GB2312"/>
          <w:sz w:val="32"/>
          <w:highlight w:val="none"/>
          <w:lang w:eastAsia="zh-CN"/>
        </w:rPr>
        <w:t>，综合承担执行中央、省委和市委有关培养党员领导干部和理论干部的方针、政策，制定潮安区培养党员领导干部和理论干部工作的总体规划并组织实施，指导镇（场）党校工作和基层党员领导干部和理论干部的培训工作，轮训、培训镇（场）领导班子中的副职党员干部、区直机关正局（科）级党员干部和基层党支部书记、村委会主任，根据不同时期和区委干部教育规划需要组织培训全区镇（场）、区直机关青年党员干部（股级）以及村委会后备干部，培训意识形态部门的领导干部和理论骨干，围绕国际、国内出现的新情况、新问题，开展科学研究，宣传马克思列宁主义、毛泽东思想、邓小平理论和党的路线、方针、政策，协同组织人事部门，对学员在校学习期间进行考核、考察和管理，完成区委和上级党校交办的其他任务</w:t>
      </w:r>
      <w:r>
        <w:rPr>
          <w:rFonts w:hint="eastAsia" w:ascii="仿宋_GB2312" w:hAnsi="仿宋_GB2312" w:eastAsia="仿宋_GB2312" w:cs="仿宋_GB2312"/>
          <w:sz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根据《2023年中共潮州市潮安区委党校决算报表（收入支出决算总表）》，2023年度区委党校部门整体总收入3,306,111.92元，其中：本年收入3,259,133.87元，本年支出3,259,533.26元。根据部门三定方案有关文件，区委党校内设4个职能股室，核定现可使用人员编制14名，其中后勤服务人员编制3名。根据区委党校2023年部门决算报表《基本数字表》显示，区委党校2023年度部门在职实有人数13人，其中参照公务员法管理事业人员人数11人，后勤服务人员2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围绕部门资金，区委党校设置的2023年部门整体总体绩效目标为：进一步发挥党校培训党员领导干部的主渠道作用，教育引导干部忠诚拥护“两个确立”，增强“四个意识”、坚定“四个自信”、做到“两个维护”，</w:t>
      </w:r>
      <w:bookmarkStart w:id="0" w:name="_GoBack"/>
      <w:bookmarkEnd w:id="0"/>
      <w:r>
        <w:rPr>
          <w:rFonts w:hint="eastAsia" w:ascii="仿宋_GB2312" w:hAnsi="仿宋_GB2312" w:eastAsia="仿宋_GB2312" w:cs="仿宋_GB2312"/>
          <w:sz w:val="32"/>
          <w:highlight w:val="none"/>
          <w:lang w:val="en-US" w:eastAsia="zh-CN"/>
        </w:rPr>
        <w:t>高质量培训干部，引导学员在学懂、弄通、做实上下功夫，进一步解放思想，担当作为，努力培养忠诚干净担当的高素质专业化干部队伍，为建设美丽新潮安提供有力思想政治保证和智力支持。2023年部门重点工作计划包括：全国村党组织书记培训班、全区科级干部学习贯彻党的二十大精神专题研讨班暨学习贯彻习近平总书记视察广东、视察潮州重要讲话精神和指示精神、2023年潮安区中青年干部培训班、潮安区村书记学“千万工程”专题示范班、潮安区村书记乡村振兴专题培训班、潮安区产业布局与城市建设专题培训班、潮安区科级干部“文化创新与文旅融合”专题培训班、潮安区科级干部“生态治理与绿美潮安”专题培训班、潮安区科级干部“公共服务与民生保障”专题培训班、潮安区学校校长能力提升班、潮安区医院院长能力提升班、“坚守初心为党育才为党献策”行走的党课八进活动等12项，另有2023年间根据区委组织部工作安排新增的2023年潮州市新录用公务员初任培训班，共完成10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二、评价结论与绩效分析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szCs w:val="32"/>
          <w:lang w:val="en-US" w:eastAsia="zh-CN"/>
        </w:rPr>
        <w:t>2023年，区委党校</w:t>
      </w:r>
      <w:r>
        <w:rPr>
          <w:rFonts w:hint="eastAsia" w:ascii="仿宋_GB2312" w:hAnsi="仿宋_GB2312" w:eastAsia="仿宋_GB2312" w:cs="仿宋_GB2312"/>
          <w:sz w:val="32"/>
          <w:highlight w:val="none"/>
        </w:rPr>
        <w:t>围绕区委、区政府中心工作，对标培训任务要求，切切实实做到聚焦中心抓培训、运用学术讲政治、严明纪律强管理，</w:t>
      </w:r>
      <w:r>
        <w:rPr>
          <w:rFonts w:hint="eastAsia" w:ascii="仿宋_GB2312" w:hAnsi="仿宋_GB2312" w:eastAsia="仿宋_GB2312" w:cs="仿宋_GB2312"/>
          <w:sz w:val="32"/>
          <w:highlight w:val="none"/>
          <w:lang w:eastAsia="zh-CN"/>
        </w:rPr>
        <w:t>在加快高质量干部培训体系建设、提升干部队伍质量水平等各项工作中取得新进展，部门整体预算投入与产出取得一定成效。但从评价指标得分率来看，部门在</w:t>
      </w:r>
      <w:r>
        <w:rPr>
          <w:rFonts w:hint="eastAsia" w:ascii="仿宋_GB2312" w:hAnsi="仿宋_GB2312" w:eastAsia="仿宋_GB2312" w:cs="仿宋_GB2312"/>
          <w:sz w:val="32"/>
          <w:highlight w:val="none"/>
          <w:lang w:val="en-US" w:eastAsia="zh-CN"/>
        </w:rPr>
        <w:t>预算编制、绩效管理</w:t>
      </w:r>
      <w:r>
        <w:rPr>
          <w:rFonts w:hint="eastAsia" w:ascii="仿宋_GB2312" w:hAnsi="仿宋_GB2312" w:eastAsia="仿宋_GB2312" w:cs="仿宋_GB2312"/>
          <w:sz w:val="32"/>
          <w:highlight w:val="none"/>
          <w:lang w:eastAsia="zh-CN"/>
        </w:rPr>
        <w:t>等方面表现不佳。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eastAsia="zh-CN"/>
        </w:rPr>
        <w:t>根据既定评价指标体系，评价团队综合评定</w:t>
      </w:r>
      <w:r>
        <w:rPr>
          <w:rFonts w:hint="eastAsia" w:ascii="仿宋_GB2312" w:hAnsi="仿宋_GB2312" w:eastAsia="仿宋_GB2312" w:cs="仿宋_GB2312"/>
          <w:sz w:val="32"/>
          <w:highlight w:val="none"/>
          <w:lang w:val="en-US" w:eastAsia="zh-CN"/>
        </w:rPr>
        <w:t>2023年中共潮州市潮安区委党校部门整体支出绩效评价综合得分为90.45分，评定等级为“优”。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32"/>
          <w:highlight w:val="none"/>
          <w:lang w:val="en-US" w:eastAsia="zh-CN"/>
        </w:rPr>
      </w:pPr>
      <w:r>
        <w:rPr>
          <w:rFonts w:hint="eastAsia" w:ascii="黑体" w:hAnsi="黑体" w:eastAsia="黑体" w:cs="黑体"/>
          <w:b w:val="0"/>
          <w:bCs/>
          <w:snapToGrid w:val="0"/>
          <w:color w:val="auto"/>
          <w:kern w:val="0"/>
          <w:sz w:val="28"/>
          <w:szCs w:val="28"/>
          <w:highlight w:val="none"/>
          <w:lang w:val="en-US" w:eastAsia="zh-CN"/>
        </w:rPr>
        <w:t xml:space="preserve">表1 </w:t>
      </w:r>
      <w:r>
        <w:rPr>
          <w:rFonts w:hint="eastAsia" w:hAnsi="黑体" w:eastAsia="黑体" w:cs="黑体"/>
          <w:b w:val="0"/>
          <w:bCs/>
          <w:snapToGrid w:val="0"/>
          <w:color w:val="auto"/>
          <w:kern w:val="0"/>
          <w:sz w:val="28"/>
          <w:szCs w:val="28"/>
          <w:highlight w:val="none"/>
          <w:lang w:val="en-US" w:eastAsia="zh-CN"/>
        </w:rPr>
        <w:t>评价情况总</w:t>
      </w:r>
      <w:r>
        <w:rPr>
          <w:rFonts w:hint="eastAsia" w:ascii="黑体" w:hAnsi="黑体" w:eastAsia="黑体" w:cs="黑体"/>
          <w:b w:val="0"/>
          <w:bCs/>
          <w:snapToGrid w:val="0"/>
          <w:color w:val="auto"/>
          <w:kern w:val="0"/>
          <w:sz w:val="28"/>
          <w:szCs w:val="28"/>
          <w:highlight w:val="none"/>
          <w:lang w:val="en-US" w:eastAsia="zh-CN"/>
        </w:rPr>
        <w:t>表</w:t>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评价指标</w:t>
            </w:r>
          </w:p>
        </w:tc>
        <w:tc>
          <w:tcPr>
            <w:tcW w:w="1701"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分值</w:t>
            </w:r>
          </w:p>
        </w:tc>
        <w:tc>
          <w:tcPr>
            <w:tcW w:w="2268"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评价得分</w:t>
            </w:r>
          </w:p>
        </w:tc>
        <w:tc>
          <w:tcPr>
            <w:tcW w:w="2268"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评价总得分</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100</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90.45</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一、履职效能</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47.45</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二、管理效率</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43.00</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86.00%</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（二）各部分绩效分析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1.履职效能分析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标分值50分，包括整体效能1个二级指标，下设部门整体绩效目标产出指标完成情况（20）、部门整体绩效目标效益指标完成情况（20）和年度重点工作任务完成率（10）3个三级指标，评价得分47.45分，得分率94.9%。主要存在问题：纳入本次评价范围的6个产出效益指标，有1个指标（占比16.7%）未能完全达成预期值。</w:t>
      </w:r>
    </w:p>
    <w:p>
      <w:pPr>
        <w:pageBreakBefore w:val="0"/>
        <w:kinsoku/>
        <w:wordWrap/>
        <w:overflowPunct/>
        <w:topLinePunct w:val="0"/>
        <w:autoSpaceDE/>
        <w:autoSpaceDN/>
        <w:bidi w:val="0"/>
        <w:spacing w:line="570" w:lineRule="exact"/>
        <w:ind w:firstLine="640" w:firstLineChars="200"/>
        <w:jc w:val="both"/>
        <w:rPr>
          <w:rFonts w:hint="eastAsia" w:ascii="仿宋_GB2312" w:hAnsi="Times New Roman" w:eastAsia="仿宋_GB2312" w:cs="Times New Roman"/>
          <w:sz w:val="32"/>
          <w:szCs w:val="22"/>
          <w:lang w:val="en-US" w:eastAsia="zh-CN"/>
        </w:rPr>
      </w:pPr>
      <w:r>
        <w:rPr>
          <w:rFonts w:hint="eastAsia" w:ascii="仿宋_GB2312" w:hAnsi="Times New Roman" w:eastAsia="仿宋_GB2312" w:cs="Times New Roman"/>
          <w:sz w:val="32"/>
          <w:szCs w:val="22"/>
          <w:lang w:val="en-US" w:eastAsia="zh-CN"/>
        </w:rPr>
        <w:t>根据区委党校提供的部门整体预算绩效目标表，共设置了1项年度重点工作任务（村（社区）书记培训班），2个产出指标，1个效益指标，指标具体情况如下：</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Cambria" w:hAnsi="Cambria" w:eastAsia="宋体" w:cs="Times New Roman"/>
          <w:kern w:val="2"/>
          <w:sz w:val="28"/>
          <w:szCs w:val="20"/>
          <w:lang w:val="en-US" w:eastAsia="zh-CN" w:bidi="ar-SA"/>
        </w:rPr>
      </w:pPr>
      <w:r>
        <w:rPr>
          <w:rFonts w:hint="eastAsia" w:ascii="黑体" w:hAnsi="黑体" w:eastAsia="黑体" w:cs="黑体"/>
          <w:kern w:val="2"/>
          <w:sz w:val="28"/>
          <w:szCs w:val="20"/>
          <w:lang w:val="en-US" w:eastAsia="zh-CN" w:bidi="ar-SA"/>
        </w:rPr>
        <w:t>表2 项目绩效指标设置情况表</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701"/>
        <w:gridCol w:w="334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一级指标</w:t>
            </w:r>
          </w:p>
        </w:tc>
        <w:tc>
          <w:tcPr>
            <w:tcW w:w="1701"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二级指标</w:t>
            </w:r>
          </w:p>
        </w:tc>
        <w:tc>
          <w:tcPr>
            <w:tcW w:w="3345"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三级指标</w:t>
            </w:r>
          </w:p>
        </w:tc>
        <w:tc>
          <w:tcPr>
            <w:tcW w:w="1984"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shd w:val="clear" w:color="auto" w:fill="auto"/>
                <w:vertAlign w:val="baseline"/>
                <w:lang w:val="en-US" w:eastAsia="zh-CN"/>
              </w:rPr>
            </w:pPr>
            <w:r>
              <w:rPr>
                <w:rFonts w:hint="eastAsia" w:ascii="仿宋_GB2312" w:hAnsi="仿宋_GB2312" w:eastAsia="仿宋_GB2312" w:cs="仿宋_GB2312"/>
                <w:b/>
                <w:bCs/>
                <w:sz w:val="24"/>
                <w:szCs w:val="24"/>
                <w:shd w:val="clear" w:color="auto" w:fill="auto"/>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产出指标</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质量指标</w:t>
            </w:r>
          </w:p>
        </w:tc>
        <w:tc>
          <w:tcPr>
            <w:tcW w:w="33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培训课程与培训主题相关性</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33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预期开展培训时间</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效益指标</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社会效益指标</w:t>
            </w:r>
          </w:p>
        </w:tc>
        <w:tc>
          <w:tcPr>
            <w:tcW w:w="33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提升对×××认识</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成效较好</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原设置的绩效指标较少不够全面，且可衡量性低，经与区委党校沟通确认，评价组对区委党校2023年度部门整体产出和效益指标进行重新梳理，结合年度工作方案等资料对部门整体预算绩效目标进行细化和量化，优化产出、效益评价指标设置，共细化设置了6个绩效指标，包括4个产出、2个效益指标，梳理后的部门整体预算绩效指标设定见下表：</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kern w:val="2"/>
          <w:sz w:val="28"/>
          <w:szCs w:val="20"/>
          <w:lang w:val="en-US" w:eastAsia="zh-CN" w:bidi="ar-SA"/>
        </w:rPr>
      </w:pPr>
      <w:r>
        <w:rPr>
          <w:rFonts w:hint="eastAsia" w:ascii="黑体" w:hAnsi="黑体" w:eastAsia="黑体" w:cs="黑体"/>
          <w:kern w:val="2"/>
          <w:sz w:val="28"/>
          <w:szCs w:val="20"/>
          <w:lang w:val="en-US" w:eastAsia="zh-CN" w:bidi="ar-SA"/>
        </w:rPr>
        <w:t>表3 评价组梳理后的部门整体预算绩效指标表</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701"/>
        <w:gridCol w:w="334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一级指标</w:t>
            </w:r>
          </w:p>
        </w:tc>
        <w:tc>
          <w:tcPr>
            <w:tcW w:w="1701"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二级指标</w:t>
            </w:r>
          </w:p>
        </w:tc>
        <w:tc>
          <w:tcPr>
            <w:tcW w:w="3345"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三级指标</w:t>
            </w:r>
          </w:p>
        </w:tc>
        <w:tc>
          <w:tcPr>
            <w:tcW w:w="1984" w:type="dxa"/>
            <w:shd w:val="clear" w:color="auto" w:fill="9CC2E5" w:themeFill="accent1"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产出指标</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数量指标</w:t>
            </w:r>
          </w:p>
        </w:tc>
        <w:tc>
          <w:tcPr>
            <w:tcW w:w="33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举办培训场次（次）</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质量指标</w:t>
            </w:r>
          </w:p>
        </w:tc>
        <w:tc>
          <w:tcPr>
            <w:tcW w:w="33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考核达标率（%）</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sz w:val="24"/>
                <w:szCs w:val="24"/>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33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预期开展培训时间</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成本指标</w:t>
            </w:r>
          </w:p>
        </w:tc>
        <w:tc>
          <w:tcPr>
            <w:tcW w:w="33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不超预算（是/否）</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效益指标</w:t>
            </w: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满意度指标</w:t>
            </w:r>
          </w:p>
        </w:tc>
        <w:tc>
          <w:tcPr>
            <w:tcW w:w="33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学员满意度（%）</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p>
        </w:tc>
        <w:tc>
          <w:tcPr>
            <w:tcW w:w="1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社会效益指标</w:t>
            </w:r>
          </w:p>
        </w:tc>
        <w:tc>
          <w:tcPr>
            <w:tcW w:w="33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提高参训人员综合素质</w:t>
            </w:r>
          </w:p>
        </w:tc>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显著提高</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cyan"/>
          <w:lang w:val="en-US" w:eastAsia="zh-CN"/>
        </w:rPr>
      </w:pPr>
      <w:r>
        <w:rPr>
          <w:rFonts w:hint="eastAsia" w:ascii="仿宋_GB2312" w:hAnsi="仿宋_GB2312" w:eastAsia="仿宋_GB2312" w:cs="仿宋_GB2312"/>
          <w:b w:val="0"/>
          <w:bCs w:val="0"/>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部门整体绩效目标产出指标完成情况，区委党校2023年举办培训场次10次，培训考核达标率超过90%，培训开展时间均在2023年度，仅有一次培训场次因受台风影响略超预算故不扣分。综上所述，产出指标的完成率分别为83%、100%、100%、100%，该指标评价得分19.15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部门整体绩效目标效益指标完成情况，区委党校2023年所主办培训班的满意度调查回收评价结果均在4.90分以上（满分5分制），量化满意度大于90%，显著提高参训人员综合素质。综上所述，效益指标完成率均为100%，该指标评价得分20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cyan"/>
          <w:lang w:val="en-US" w:eastAsia="zh-CN"/>
        </w:rPr>
      </w:pPr>
      <w:r>
        <w:rPr>
          <w:rFonts w:hint="eastAsia" w:ascii="仿宋_GB2312" w:hAnsi="仿宋_GB2312" w:eastAsia="仿宋_GB2312" w:cs="仿宋_GB2312"/>
          <w:b w:val="0"/>
          <w:bCs w:val="0"/>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年度重点工作任务完成率，结合区委党校提供的《中共潮州市潮安区委党校2023年度工作总结》及《2023年度重点工作任务完成率》，区委党校2023年度完成10项重点工作。综上所述，年度重点工作任务完成率为83%，该指标得分8.3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2.管理效率分析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标分值50分，评价得分43分，得分率86.0%。管理效率主要从预算编制（得分率64.3%）、预算执行（得分率100%）、信息公开（得分率100%）、绩效管理（得分率56.3%）、采购管理（得分率100%）、资产管理（得分率92.9%）等6个维度进行考核。</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22"/>
          <w:highlight w:val="none"/>
          <w:lang w:val="en-US" w:eastAsia="zh-CN"/>
        </w:rPr>
      </w:pPr>
      <w:r>
        <w:rPr>
          <w:rFonts w:hint="eastAsia" w:ascii="仿宋_GB2312" w:hAnsi="仿宋_GB2312" w:eastAsia="仿宋_GB2312" w:cs="Times New Roman"/>
          <w:sz w:val="32"/>
          <w:szCs w:val="32"/>
          <w:highlight w:val="none"/>
          <w:lang w:val="en-US" w:eastAsia="zh-CN"/>
        </w:rPr>
        <w:t>（1）预算编制（7）。一是绩效目标合理性，结合区委党校三定方案及年度工作计划，认为绩效目标能体现部门“三定方案”规定的部门职能，能体现部门中长期规划，但</w:t>
      </w:r>
      <w:r>
        <w:rPr>
          <w:rFonts w:hint="eastAsia" w:ascii="仿宋_GB2312" w:hAnsi="仿宋_GB2312" w:eastAsia="仿宋_GB2312" w:cs="仿宋_GB2312"/>
          <w:sz w:val="32"/>
          <w:szCs w:val="32"/>
          <w:highlight w:val="none"/>
          <w:lang w:eastAsia="zh-CN"/>
        </w:rPr>
        <w:t>设置</w:t>
      </w:r>
      <w:r>
        <w:rPr>
          <w:rFonts w:hint="eastAsia" w:ascii="仿宋_GB2312" w:hAnsi="仿宋_GB2312" w:eastAsia="仿宋_GB2312" w:cs="仿宋_GB2312"/>
          <w:sz w:val="32"/>
          <w:szCs w:val="32"/>
          <w:highlight w:val="none"/>
          <w:lang w:val="en-US" w:eastAsia="zh-CN"/>
        </w:rPr>
        <w:t>质量不高、</w:t>
      </w:r>
      <w:r>
        <w:rPr>
          <w:rFonts w:hint="eastAsia" w:ascii="仿宋_GB2312" w:hAnsi="仿宋_GB2312" w:eastAsia="仿宋_GB2312" w:cs="仿宋_GB2312"/>
          <w:sz w:val="32"/>
          <w:szCs w:val="32"/>
          <w:highlight w:val="none"/>
          <w:lang w:eastAsia="zh-CN"/>
        </w:rPr>
        <w:t>表述不完整，</w:t>
      </w:r>
      <w:r>
        <w:rPr>
          <w:rFonts w:hint="eastAsia" w:ascii="仿宋_GB2312" w:hAnsi="仿宋_GB2312" w:eastAsia="仿宋_GB2312" w:cs="Times New Roman"/>
          <w:sz w:val="32"/>
          <w:szCs w:val="32"/>
          <w:highlight w:val="none"/>
          <w:lang w:val="en-US" w:eastAsia="zh-CN"/>
        </w:rPr>
        <w:t>仅体现部分年度重点工作，故本指标扣1分</w:t>
      </w:r>
      <w:r>
        <w:rPr>
          <w:rFonts w:hint="eastAsia" w:ascii="仿宋_GB2312" w:hAnsi="仿宋_GB2312" w:eastAsia="仿宋_GB2312" w:cs="仿宋_GB2312"/>
          <w:sz w:val="32"/>
          <w:szCs w:val="32"/>
          <w:highlight w:val="none"/>
          <w:lang w:val="en-US" w:eastAsia="zh-CN"/>
        </w:rPr>
        <w:t>。二是绩效指标明确性，绩效指标设置与区委党校年度重点工作实施内容相关，但</w:t>
      </w:r>
      <w:r>
        <w:rPr>
          <w:rFonts w:hint="eastAsia" w:ascii="仿宋_GB2312" w:hAnsi="仿宋_GB2312" w:eastAsia="仿宋_GB2312" w:cs="仿宋_GB2312"/>
          <w:sz w:val="32"/>
          <w:szCs w:val="32"/>
          <w:highlight w:val="none"/>
          <w:lang w:eastAsia="zh-CN"/>
        </w:rPr>
        <w:t>缺失核心的产出数量指标，</w:t>
      </w:r>
      <w:r>
        <w:rPr>
          <w:rFonts w:hint="eastAsia" w:ascii="仿宋_GB2312" w:hAnsi="仿宋_GB2312" w:eastAsia="仿宋_GB2312" w:cs="仿宋_GB2312"/>
          <w:sz w:val="32"/>
          <w:szCs w:val="32"/>
          <w:highlight w:val="none"/>
          <w:lang w:val="en-US" w:eastAsia="zh-CN"/>
        </w:rPr>
        <w:t>指标</w:t>
      </w:r>
      <w:r>
        <w:rPr>
          <w:rFonts w:hint="eastAsia" w:ascii="仿宋_GB2312" w:hAnsi="仿宋_GB2312" w:eastAsia="仿宋_GB2312" w:cs="仿宋_GB2312"/>
          <w:sz w:val="32"/>
          <w:szCs w:val="32"/>
          <w:highlight w:val="none"/>
          <w:lang w:eastAsia="zh-CN"/>
        </w:rPr>
        <w:t>设置科学合理性不足、</w:t>
      </w:r>
      <w:r>
        <w:rPr>
          <w:rFonts w:hint="eastAsia" w:ascii="仿宋_GB2312" w:hAnsi="仿宋_GB2312" w:eastAsia="仿宋_GB2312" w:cs="仿宋_GB2312"/>
          <w:sz w:val="32"/>
          <w:szCs w:val="32"/>
          <w:highlight w:val="none"/>
          <w:lang w:val="en-US" w:eastAsia="zh-CN"/>
        </w:rPr>
        <w:t>可衡量性差，扣1.5分。三是新增预算项目事前绩效评估，区委党校2023年度未新增预算安排的重大支出政策和项目，</w:t>
      </w:r>
      <w:r>
        <w:rPr>
          <w:rFonts w:hint="eastAsia" w:ascii="仿宋_GB2312" w:hAnsi="仿宋_GB2312" w:eastAsia="仿宋_GB2312" w:cs="Times New Roman"/>
          <w:sz w:val="32"/>
          <w:szCs w:val="32"/>
          <w:highlight w:val="none"/>
          <w:lang w:val="en-US" w:eastAsia="zh-CN"/>
        </w:rPr>
        <w:t>故本指标不扣分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22"/>
          <w:highlight w:val="none"/>
          <w:lang w:val="en-US" w:eastAsia="zh-CN"/>
        </w:rPr>
        <w:t>综上所述，该指标评价得分4.5分。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22"/>
          <w:highlight w:val="none"/>
          <w:lang w:val="en-US" w:eastAsia="zh-CN"/>
        </w:rPr>
      </w:pPr>
      <w:r>
        <w:rPr>
          <w:rFonts w:hint="eastAsia" w:ascii="仿宋_GB2312" w:hAnsi="仿宋_GB2312" w:eastAsia="仿宋_GB2312" w:cs="Times New Roman"/>
          <w:sz w:val="32"/>
          <w:szCs w:val="32"/>
          <w:highlight w:val="none"/>
          <w:lang w:val="en-US" w:eastAsia="zh-CN"/>
        </w:rPr>
        <w:t>（2）</w:t>
      </w:r>
      <w:r>
        <w:rPr>
          <w:rFonts w:hint="eastAsia" w:ascii="仿宋_GB2312" w:hAnsi="Times New Roman" w:eastAsia="仿宋_GB2312" w:cs="Times New Roman"/>
          <w:sz w:val="32"/>
          <w:szCs w:val="22"/>
          <w:highlight w:val="none"/>
          <w:lang w:val="en-US" w:eastAsia="zh-CN"/>
        </w:rPr>
        <w:t>预算执行（7）。一是预算编制约束性，区委党校2023年度收入年初预算数为429.04万元，收入决算数为325.90万元，其中年中增人增编经费0万元，上级未追加资金，则年中追加资金占比率=(325.90-429.04-0)/429.04＜0%,</w:t>
      </w:r>
      <w:r>
        <w:rPr>
          <w:rFonts w:hint="eastAsia" w:ascii="仿宋_GB2312" w:hAnsi="仿宋_GB2312" w:eastAsia="仿宋_GB2312" w:cs="Times New Roman"/>
          <w:sz w:val="32"/>
          <w:szCs w:val="32"/>
          <w:highlight w:val="none"/>
          <w:lang w:val="en-US" w:eastAsia="zh-CN"/>
        </w:rPr>
        <w:t>故本指标不扣分</w:t>
      </w:r>
      <w:r>
        <w:rPr>
          <w:rFonts w:hint="eastAsia" w:ascii="仿宋_GB2312" w:hAnsi="Times New Roman" w:eastAsia="仿宋_GB2312" w:cs="Times New Roman"/>
          <w:sz w:val="32"/>
          <w:szCs w:val="22"/>
          <w:highlight w:val="none"/>
          <w:lang w:val="en-US" w:eastAsia="zh-CN"/>
        </w:rPr>
        <w:t>。二是“三公”经费控制情况，区委党校2023年度“三公”经费预算安排数为0.76万元，实际支出数为0.59万元，“三公”经费实际支出数≤预算安排的“三公”经费数，</w:t>
      </w:r>
      <w:r>
        <w:rPr>
          <w:rFonts w:hint="eastAsia" w:ascii="仿宋_GB2312" w:hAnsi="仿宋_GB2312" w:eastAsia="仿宋_GB2312" w:cs="Times New Roman"/>
          <w:sz w:val="32"/>
          <w:szCs w:val="32"/>
          <w:highlight w:val="none"/>
          <w:lang w:val="en-US" w:eastAsia="zh-CN"/>
        </w:rPr>
        <w:t>故本指标不扣分</w:t>
      </w:r>
      <w:r>
        <w:rPr>
          <w:rFonts w:hint="eastAsia" w:ascii="仿宋_GB2312" w:hAnsi="Times New Roman" w:eastAsia="仿宋_GB2312" w:cs="Times New Roman"/>
          <w:sz w:val="32"/>
          <w:szCs w:val="22"/>
          <w:highlight w:val="none"/>
          <w:lang w:val="en-US" w:eastAsia="zh-CN"/>
        </w:rPr>
        <w:t>。三是财务管理合规性，区委党校已建立《中共潮州市潮安区委党校行政后勤工作管理制度》（内含财务管理制度）加强单位财务管理，抽查项目支出未发现存在资金管理不规范问题，</w:t>
      </w:r>
      <w:r>
        <w:rPr>
          <w:rFonts w:hint="eastAsia" w:ascii="仿宋_GB2312" w:hAnsi="仿宋_GB2312" w:eastAsia="仿宋_GB2312" w:cs="Times New Roman"/>
          <w:sz w:val="32"/>
          <w:szCs w:val="32"/>
          <w:highlight w:val="none"/>
          <w:lang w:val="en-US" w:eastAsia="zh-CN"/>
        </w:rPr>
        <w:t>故本指标不扣分</w:t>
      </w:r>
      <w:r>
        <w:rPr>
          <w:rFonts w:hint="eastAsia" w:ascii="仿宋_GB2312" w:hAnsi="Times New Roman" w:eastAsia="仿宋_GB2312" w:cs="Times New Roman"/>
          <w:sz w:val="32"/>
          <w:szCs w:val="22"/>
          <w:highlight w:val="none"/>
          <w:lang w:val="en-US" w:eastAsia="zh-CN"/>
        </w:rPr>
        <w:t>。</w:t>
      </w:r>
      <w:r>
        <w:rPr>
          <w:rFonts w:hint="eastAsia" w:ascii="仿宋_GB2312" w:hAnsi="仿宋_GB2312" w:eastAsia="仿宋_GB2312" w:cs="仿宋_GB2312"/>
          <w:sz w:val="32"/>
          <w:szCs w:val="22"/>
          <w:highlight w:val="none"/>
          <w:lang w:val="en-US" w:eastAsia="zh-CN"/>
        </w:rPr>
        <w:t>综上所述，该指标评价得分7分。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22"/>
          <w:highlight w:val="lightGray"/>
          <w:lang w:val="en-US" w:eastAsia="zh-CN"/>
        </w:rPr>
      </w:pPr>
      <w:r>
        <w:rPr>
          <w:rFonts w:hint="eastAsia" w:ascii="仿宋_GB2312" w:hAnsi="仿宋_GB2312" w:eastAsia="仿宋_GB2312" w:cs="Times New Roman"/>
          <w:sz w:val="32"/>
          <w:szCs w:val="32"/>
          <w:highlight w:val="none"/>
          <w:lang w:val="en-US" w:eastAsia="zh-CN"/>
        </w:rPr>
        <w:t>（3）</w:t>
      </w:r>
      <w:r>
        <w:rPr>
          <w:rFonts w:hint="eastAsia" w:ascii="仿宋_GB2312" w:hAnsi="Times New Roman" w:eastAsia="仿宋_GB2312" w:cs="Times New Roman"/>
          <w:sz w:val="32"/>
          <w:szCs w:val="22"/>
          <w:highlight w:val="none"/>
          <w:lang w:val="en-US" w:eastAsia="zh-CN"/>
        </w:rPr>
        <w:t>信息公开（3）。一是预决算公开及时性，区委党校于2023年4月20日在潮州市潮安区人民政府网站公开《2023年中共潮州市潮安区委党校部门预算公开》，于2023年9月21日在潮州市潮安区人民政府网站公开《2022年中共潮州市潮安区委党校部门决算公开》，部门预决算公开均在财政部门批复后20日内，故本指标不扣分。二是绩效信息公开情况，经查阅《2023年中共潮州市潮安区委党校部门预算公开》，单位在预算公开中公开了绩效目标信息，《2022年中共潮州市潮安区委党校部门决算公开》中公开了绩效自评信息，故本指标不扣分。</w:t>
      </w:r>
      <w:r>
        <w:rPr>
          <w:rFonts w:hint="eastAsia" w:ascii="仿宋_GB2312" w:hAnsi="仿宋_GB2312" w:eastAsia="仿宋_GB2312" w:cs="仿宋_GB2312"/>
          <w:sz w:val="32"/>
          <w:szCs w:val="22"/>
          <w:highlight w:val="none"/>
          <w:lang w:val="en-US" w:eastAsia="zh-CN"/>
        </w:rPr>
        <w:t>综上所述，该指标评价得分3分。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22"/>
          <w:highlight w:val="none"/>
          <w:lang w:val="en-US" w:eastAsia="zh-CN"/>
        </w:rPr>
      </w:pPr>
      <w:r>
        <w:rPr>
          <w:rFonts w:hint="eastAsia" w:ascii="仿宋_GB2312" w:hAnsi="仿宋_GB2312" w:eastAsia="仿宋_GB2312" w:cs="Times New Roman"/>
          <w:sz w:val="32"/>
          <w:szCs w:val="32"/>
          <w:highlight w:val="none"/>
          <w:lang w:val="en-US" w:eastAsia="zh-CN"/>
        </w:rPr>
        <w:t>（4）</w:t>
      </w:r>
      <w:r>
        <w:rPr>
          <w:rFonts w:hint="eastAsia" w:ascii="仿宋_GB2312" w:hAnsi="Times New Roman" w:eastAsia="仿宋_GB2312" w:cs="Times New Roman"/>
          <w:sz w:val="32"/>
          <w:szCs w:val="22"/>
          <w:highlight w:val="none"/>
          <w:lang w:val="en-US" w:eastAsia="zh-CN"/>
        </w:rPr>
        <w:t>绩效管理（8）。一是绩效管理制度建设，区委党校所指定的《党校预算管理制度》体现日常工作绩效管理要求，但未不够具体，另未制定专项资金管理办法，扣3分。二是绩效管理制度执行，根据《2022年度整体支出绩效评价意见的自评得分统计表》，区委党校绩效管理制度执行综合得分为3.5分。</w:t>
      </w:r>
      <w:r>
        <w:rPr>
          <w:rFonts w:hint="eastAsia" w:ascii="仿宋_GB2312" w:hAnsi="仿宋_GB2312" w:eastAsia="仿宋_GB2312" w:cs="仿宋_GB2312"/>
          <w:sz w:val="32"/>
          <w:szCs w:val="22"/>
          <w:highlight w:val="none"/>
          <w:lang w:val="en-US" w:eastAsia="zh-CN"/>
        </w:rPr>
        <w:t>综上所述，该指标评价得分4.5分。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22"/>
          <w:highlight w:val="none"/>
          <w:lang w:val="en-US" w:eastAsia="zh-CN"/>
        </w:rPr>
      </w:pPr>
      <w:r>
        <w:rPr>
          <w:rFonts w:hint="eastAsia" w:ascii="仿宋_GB2312" w:hAnsi="仿宋_GB2312" w:eastAsia="仿宋_GB2312" w:cs="Times New Roman"/>
          <w:sz w:val="32"/>
          <w:szCs w:val="32"/>
          <w:highlight w:val="none"/>
          <w:lang w:val="en-US" w:eastAsia="zh-CN"/>
        </w:rPr>
        <w:t>（5）</w:t>
      </w:r>
      <w:r>
        <w:rPr>
          <w:rFonts w:hint="eastAsia" w:ascii="仿宋_GB2312" w:hAnsi="Times New Roman" w:eastAsia="仿宋_GB2312" w:cs="Times New Roman"/>
          <w:sz w:val="32"/>
          <w:szCs w:val="22"/>
          <w:highlight w:val="none"/>
          <w:lang w:val="en-US" w:eastAsia="zh-CN"/>
        </w:rPr>
        <w:t>采购管理（11）。区委党校已建立《中共潮州市潮安区委党校政府采购内部管理控制制度》，在2023年度未发生超过100万元的政府采购项目，未发生采购质疑投诉。</w:t>
      </w:r>
      <w:r>
        <w:rPr>
          <w:rFonts w:hint="eastAsia" w:ascii="仿宋_GB2312" w:hAnsi="仿宋_GB2312" w:eastAsia="仿宋_GB2312" w:cs="仿宋_GB2312"/>
          <w:sz w:val="32"/>
          <w:szCs w:val="22"/>
          <w:highlight w:val="none"/>
          <w:lang w:val="en-US" w:eastAsia="zh-CN"/>
        </w:rPr>
        <w:t>综上所述，该指标评价得分11分。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22"/>
          <w:highlight w:val="cyan"/>
          <w:lang w:val="en-US" w:eastAsia="zh-CN"/>
        </w:rPr>
      </w:pPr>
      <w:r>
        <w:rPr>
          <w:rFonts w:hint="eastAsia" w:ascii="仿宋_GB2312" w:hAnsi="仿宋_GB2312" w:eastAsia="仿宋_GB2312" w:cs="Times New Roman"/>
          <w:sz w:val="32"/>
          <w:szCs w:val="32"/>
          <w:highlight w:val="none"/>
          <w:lang w:val="en-US" w:eastAsia="zh-CN"/>
        </w:rPr>
        <w:t>（6）</w:t>
      </w:r>
      <w:r>
        <w:rPr>
          <w:rFonts w:hint="eastAsia" w:ascii="仿宋_GB2312" w:hAnsi="Times New Roman" w:eastAsia="仿宋_GB2312" w:cs="Times New Roman"/>
          <w:sz w:val="32"/>
          <w:szCs w:val="22"/>
          <w:highlight w:val="none"/>
          <w:lang w:val="en-US" w:eastAsia="zh-CN"/>
        </w:rPr>
        <w:t>资产管理（14）。区委党校2023年不存在资产出租、处置事项，进行1次资产盘点，1-12月资产月报均在每月7号之前报送，固定资产利用率100%，并制定《中共潮州市潮安区委党校行政后勤工作管理制度》（内含固定资产、物资管理制度），但</w:t>
      </w:r>
      <w:r>
        <w:rPr>
          <w:rFonts w:hint="eastAsia" w:ascii="仿宋_GB2312" w:hAnsi="仿宋_GB2312" w:eastAsia="仿宋_GB2312" w:cs="Times New Roman"/>
          <w:sz w:val="32"/>
          <w:szCs w:val="32"/>
          <w:highlight w:val="none"/>
        </w:rPr>
        <w:t>经现场抽查盘点固定资产发现，</w:t>
      </w:r>
      <w:r>
        <w:rPr>
          <w:rFonts w:hint="eastAsia" w:ascii="仿宋_GB2312" w:hAnsi="仿宋_GB2312" w:eastAsia="仿宋_GB2312" w:cs="Times New Roman"/>
          <w:sz w:val="32"/>
          <w:szCs w:val="32"/>
          <w:highlight w:val="none"/>
          <w:lang w:val="en-US" w:eastAsia="zh-CN"/>
        </w:rPr>
        <w:t>部分资产卡片信息不完整、未及时更新，故本指标扣1分</w:t>
      </w:r>
      <w:r>
        <w:rPr>
          <w:rFonts w:hint="eastAsia" w:ascii="仿宋_GB2312" w:hAnsi="Times New Roman" w:eastAsia="仿宋_GB2312" w:cs="Times New Roman"/>
          <w:sz w:val="32"/>
          <w:szCs w:val="22"/>
          <w:highlight w:val="none"/>
          <w:lang w:val="en-US" w:eastAsia="zh-CN"/>
        </w:rPr>
        <w:t>。</w:t>
      </w:r>
      <w:r>
        <w:rPr>
          <w:rFonts w:hint="eastAsia" w:ascii="仿宋_GB2312" w:hAnsi="仿宋_GB2312" w:eastAsia="仿宋_GB2312" w:cs="仿宋_GB2312"/>
          <w:sz w:val="32"/>
          <w:szCs w:val="22"/>
          <w:highlight w:val="none"/>
          <w:lang w:val="en-US" w:eastAsia="zh-CN"/>
        </w:rPr>
        <w:t>综上所述，该指标评价得分13分。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三、主要绩效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（一）强化党建引领，筑牢发展基础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2023年区委党校深入开展机关意识教育工作，把学习贯彻习近平新时代中国特色社会主义思想作为头等大事和首要政治任务。</w:t>
      </w:r>
      <w:r>
        <w:rPr>
          <w:rFonts w:hint="eastAsia" w:ascii="仿宋_GB2312" w:hAnsi="仿宋_GB2312" w:eastAsia="仿宋_GB2312" w:cs="仿宋_GB2312"/>
          <w:b w:val="0"/>
          <w:bCs w:val="0"/>
          <w:sz w:val="32"/>
          <w:szCs w:val="32"/>
          <w:lang w:val="en-US" w:eastAsia="zh-CN"/>
        </w:rPr>
        <w:t>一是开展纪律教育学习月活动。区委党校通过召开动员会和专题学习会、开展党纪法规知识测试、观看警示教育片、开展主题党日、现场教育活动等多种方式，不断深入推进纪律教育学习工作，进一步筑牢党员干部职工思想政治防线，增强党员干部职工廉政自律意识、规矩意识。二是持续开展习近平新时代中国特色社会主义思想主题教育。区委党校成立学习贯彻习近平新时代中国特色社会主义思想主题教育领导小组，研究制定主题教育实施方案，扎实推动主题教育进程，采取集中学习与个人自学相结合形式，以党的二十大报告、党章、《习近平新时代中国特色社会主义思想专题摘编》为学习重点，及时跟进学习习近平总书记最新重要讲话和文章，共组织集中学习会11次和读书分享会1次，有效引导党员干部运用习近平新时代中国特色社会主义思想的世界观及方法论，不断提高党员干部政治判断力、政治领悟力、政治执行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（二）聚焦理论研学，抓好队伍建设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2023年区委党校着力探索教学教研新方式、新方法，致力于教员队伍长效机制建设，以拓展丰富党校教员知识与经验，获得一定成果。</w:t>
      </w:r>
      <w:r>
        <w:rPr>
          <w:rFonts w:hint="eastAsia" w:ascii="仿宋_GB2312" w:hAnsi="仿宋_GB2312" w:eastAsia="仿宋_GB2312" w:cs="仿宋_GB2312"/>
          <w:b w:val="0"/>
          <w:bCs w:val="0"/>
          <w:sz w:val="32"/>
          <w:szCs w:val="32"/>
          <w:lang w:val="en-US" w:eastAsia="zh-CN"/>
        </w:rPr>
        <w:t>一是创新学习研讨方式，加强试讲说课力度。围绕着《区委党校2023年度集体备课方案》，区委党校实践集体研讨、备课新模式，2023年度共开展9场全校强互动研讨会，以教员共享备课资料与方式、交流备课经验与策略的形式，系统性解决教学教研过程中碰到的疑问难题，进一步提高课程质量、改善教学效果。同时，区委党校在每周固定时段试讲说课的原有基础上，根据工作需要每周动态增加试讲说课次数，在2023年度期间已开展校内试讲说课27人次，不断激励倒逼教员提升授课能力，多次检验从而保证教员授课水平。二是队伍建设取得实效，科研资政为党献策。为进一步深化“用学术讲政治”，区委党校积极组织参加全市首届党校系统好课程评选活动，参赛课程《牢牢把握以中国式现代化全面推进中华民族伟大复兴的使命任务》获评十大好课程。此外，为响应新形势新发展新要求的号召，区委党校科学谋划年度各级课题，以小组形式集中研究分析，确定研究课题内容为锚，从实际出发选取研究目标、路径、方法，研究制定实施计划、方案，共完成4个研究课题，其中包括潮州市委党校校级课题2个和区级重点调研课题2个，切实推动党校教学研究工作发展，进一步提高党校科研资政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（三）聚焦为党育才，抓好教育培训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一是举办潮安区干部培训班。区委组织部联合区委党校于</w:t>
      </w:r>
      <w:r>
        <w:rPr>
          <w:rFonts w:hint="eastAsia" w:ascii="仿宋_GB2312" w:hAnsi="仿宋_GB2312" w:eastAsia="仿宋_GB2312" w:cs="仿宋_GB2312"/>
          <w:b w:val="0"/>
          <w:bCs w:val="0"/>
          <w:sz w:val="32"/>
          <w:szCs w:val="32"/>
          <w:lang w:val="en-US" w:eastAsia="zh-CN"/>
        </w:rPr>
        <w:t>5月</w:t>
      </w:r>
      <w:r>
        <w:rPr>
          <w:rFonts w:hint="eastAsia" w:ascii="仿宋_GB2312" w:hAnsi="仿宋_GB2312" w:eastAsia="仿宋_GB2312" w:cs="仿宋_GB2312"/>
          <w:b w:val="0"/>
          <w:bCs w:val="0"/>
          <w:sz w:val="32"/>
          <w:szCs w:val="32"/>
          <w:lang w:eastAsia="zh-CN"/>
        </w:rPr>
        <w:t>举办2023年春季学期开学典礼暨全区科级领导干部学习贯彻党的二十大精神专题研讨班，采取分组研讨、专题课、视频课等多种教学形式，加设多个分会场以保证培训教育范围对潮安区科级干部实现全覆盖，切实引导潮安区科级干部更好用党的二十大精神统一思想、凝聚共识、干事创业。8月举办“产业布局和城市建设”专题培训班，邀请市级培训班学员亲身讲授学习成果，深入大岭山与东山湖两大产业园现场参观学习，进一步提高潮安区领导干部“强产兴城”的系统谋划和组织实施能力。11月举办“文化创新与文旅融合”暨“公共服务与生态治理”专题培训班，邀请高校知名教授学者、区级业务骨干为学员授课，助力潮安区人才专业化培养。11月14日至12月8日举办为期1个月的中青年干部培训班，全脱产封闭式共培训56名中青年干部，课程内容丰富多彩，既有研讨教学、读书分享等理论学习，又有军事训练、文体活动等综合实践，有效提升潮安区中青年干部综合素质水平。二是打造村书记培训示范班。区委党校围绕</w:t>
      </w:r>
      <w:r>
        <w:rPr>
          <w:rFonts w:hint="default" w:ascii="仿宋_GB2312" w:hAnsi="仿宋_GB2312" w:eastAsia="仿宋_GB2312" w:cs="仿宋_GB2312"/>
          <w:b w:val="0"/>
          <w:bCs w:val="0"/>
          <w:sz w:val="32"/>
          <w:szCs w:val="32"/>
          <w:lang w:val="en-US" w:eastAsia="zh-CN"/>
        </w:rPr>
        <w:t>“1个主体示范班+16个镇场研讨班”培训模式</w:t>
      </w:r>
      <w:r>
        <w:rPr>
          <w:rFonts w:hint="eastAsia" w:ascii="仿宋_GB2312" w:hAnsi="仿宋_GB2312" w:eastAsia="仿宋_GB2312" w:cs="仿宋_GB2312"/>
          <w:b w:val="0"/>
          <w:bCs w:val="0"/>
          <w:sz w:val="32"/>
          <w:szCs w:val="32"/>
          <w:lang w:val="en-US" w:eastAsia="zh-CN"/>
        </w:rPr>
        <w:t>，分别于7月在浙江大学举办潮州市潮安区村书记学“千万工程”专题培训班和9月到韶关举办潮州市潮安区村</w:t>
      </w:r>
      <w:r>
        <w:rPr>
          <w:rFonts w:hint="eastAsia" w:ascii="仿宋_GB2312" w:hAnsi="仿宋_GB2312" w:eastAsia="仿宋_GB2312" w:cs="仿宋_GB2312"/>
          <w:sz w:val="32"/>
          <w:szCs w:val="32"/>
          <w:lang w:val="en-US" w:eastAsia="zh-CN"/>
        </w:rPr>
        <w:t>书记乡村振兴专题培训班，</w:t>
      </w:r>
      <w:r>
        <w:rPr>
          <w:rFonts w:hint="default"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val="en-US" w:eastAsia="zh-CN"/>
        </w:rPr>
        <w:t>潮安</w:t>
      </w:r>
      <w:r>
        <w:rPr>
          <w:rFonts w:hint="default"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eastAsia="zh-CN"/>
        </w:rPr>
        <w:t>50</w:t>
      </w:r>
      <w:r>
        <w:rPr>
          <w:rFonts w:hint="default" w:ascii="仿宋_GB2312" w:hAnsi="仿宋_GB2312" w:eastAsia="仿宋_GB2312" w:cs="仿宋_GB2312"/>
          <w:sz w:val="32"/>
          <w:szCs w:val="32"/>
          <w:lang w:val="en-US" w:eastAsia="zh-CN"/>
        </w:rPr>
        <w:t>名村（社区）党组织书记</w:t>
      </w:r>
      <w:r>
        <w:rPr>
          <w:rFonts w:hint="eastAsia" w:ascii="仿宋_GB2312" w:hAnsi="仿宋_GB2312" w:eastAsia="仿宋_GB2312" w:cs="仿宋_GB2312"/>
          <w:sz w:val="32"/>
          <w:szCs w:val="32"/>
          <w:lang w:val="en-US" w:eastAsia="zh-CN"/>
        </w:rPr>
        <w:t>参与并在培训结束后在各镇分享探讨，进一步开拓基层干部视野、提高基层干部干事创业能力。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_GB2312" w:hAnsi="楷体_GB2312" w:eastAsia="楷体_GB2312" w:cs="楷体_GB2312"/>
          <w:sz w:val="32"/>
          <w:szCs w:val="32"/>
          <w:highlight w:val="yellow"/>
          <w:lang w:val="en-US" w:eastAsia="zh-CN"/>
        </w:rPr>
      </w:pP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lang w:val="en-US" w:eastAsia="zh-CN"/>
        </w:rPr>
        <w:t>数字赋能党建，构建联动格局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2"/>
        <w:rPr>
          <w:rFonts w:hint="eastAsia" w:ascii="楷体_GB2312" w:hAnsi="楷体_GB2312" w:eastAsia="仿宋_GB2312" w:cs="楷体_GB2312"/>
          <w:b w:val="0"/>
          <w:bCs w:val="0"/>
          <w:sz w:val="32"/>
          <w:szCs w:val="32"/>
          <w:lang w:val="en-US" w:eastAsia="zh-CN"/>
        </w:rPr>
      </w:pPr>
      <w:r>
        <w:rPr>
          <w:rFonts w:hint="eastAsia" w:ascii="仿宋_GB2312" w:hAnsi="仿宋_GB2312" w:eastAsia="仿宋_GB2312" w:cs="仿宋_GB2312"/>
          <w:b w:val="0"/>
          <w:bCs w:val="0"/>
          <w:sz w:val="32"/>
          <w:szCs w:val="32"/>
          <w:lang w:eastAsia="zh-CN"/>
        </w:rPr>
        <w:t>一是学习宣传贯彻党的二十大精神。区委党校举办“党的二十大精神我来讲 潮安区党校系统微党课大赛”，</w:t>
      </w:r>
      <w:r>
        <w:rPr>
          <w:rFonts w:hint="eastAsia" w:ascii="仿宋_GB2312" w:hAnsi="仿宋_GB2312" w:eastAsia="仿宋_GB2312" w:cs="仿宋_GB2312"/>
          <w:b w:val="0"/>
          <w:bCs w:val="0"/>
          <w:kern w:val="2"/>
          <w:sz w:val="32"/>
          <w:szCs w:val="32"/>
          <w:lang w:val="en-US" w:eastAsia="zh-CN" w:bidi="ar"/>
        </w:rPr>
        <w:t>打造宣讲党的二十大精神的优秀微党课，印发《潮安区精品党课案例选编》，供潮安区党员干部学以致用，助推党的二十大精神在潮安大地落地生根、开花结果。二是大力推进行走的党课“八进”活动。区委党校于3月到</w:t>
      </w:r>
      <w:r>
        <w:rPr>
          <w:rFonts w:hint="eastAsia" w:ascii="仿宋_GB2312" w:hAnsi="仿宋_GB2312" w:eastAsia="仿宋_GB2312" w:cs="仿宋_GB2312"/>
          <w:b w:val="0"/>
          <w:bCs w:val="0"/>
          <w:i w:val="0"/>
          <w:caps w:val="0"/>
          <w:color w:val="auto"/>
          <w:spacing w:val="0"/>
          <w:sz w:val="32"/>
          <w:szCs w:val="32"/>
          <w:shd w:val="clear" w:fill="FFFFFF"/>
          <w:lang w:val="en-US" w:eastAsia="zh-CN"/>
        </w:rPr>
        <w:t>6月期间</w:t>
      </w:r>
      <w:r>
        <w:rPr>
          <w:rFonts w:hint="eastAsia" w:ascii="仿宋_GB2312" w:hAnsi="仿宋_GB2312" w:eastAsia="仿宋_GB2312" w:cs="仿宋_GB2312"/>
          <w:b w:val="0"/>
          <w:bCs w:val="0"/>
          <w:i w:val="0"/>
          <w:caps w:val="0"/>
          <w:color w:val="auto"/>
          <w:spacing w:val="0"/>
          <w:sz w:val="32"/>
          <w:szCs w:val="32"/>
          <w:shd w:val="clear" w:fill="FFFFFF"/>
        </w:rPr>
        <w:t>开展“坚守初心</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为党育才</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为党献策”行走的党课“八进”活动，坚持“每周一进”，以行走的党课把党的理论送进机关、乡村等八个单位，制作“党校融课堂”系列视频，以传统媒体与新媒体多密度宣传报道，累计受众近100万人次，扩</w:t>
      </w:r>
      <w:r>
        <w:rPr>
          <w:rFonts w:hint="eastAsia" w:ascii="仿宋_GB2312" w:hAnsi="仿宋_GB2312" w:eastAsia="仿宋_GB2312" w:cs="仿宋_GB2312"/>
          <w:b w:val="0"/>
          <w:bCs w:val="0"/>
          <w:i w:val="0"/>
          <w:caps w:val="0"/>
          <w:color w:val="auto"/>
          <w:spacing w:val="0"/>
          <w:sz w:val="32"/>
          <w:szCs w:val="32"/>
          <w:shd w:val="clear" w:fill="FFFFFF"/>
          <w:lang w:eastAsia="zh-CN"/>
        </w:rPr>
        <w:t>展</w:t>
      </w:r>
      <w:r>
        <w:rPr>
          <w:rFonts w:hint="eastAsia" w:ascii="仿宋_GB2312" w:hAnsi="仿宋_GB2312" w:eastAsia="仿宋_GB2312" w:cs="仿宋_GB2312"/>
          <w:b w:val="0"/>
          <w:bCs w:val="0"/>
          <w:i w:val="0"/>
          <w:caps w:val="0"/>
          <w:color w:val="auto"/>
          <w:spacing w:val="0"/>
          <w:sz w:val="32"/>
          <w:szCs w:val="32"/>
          <w:shd w:val="clear" w:fill="FFFFFF"/>
        </w:rPr>
        <w:t>党课教育辐射范围。</w:t>
      </w:r>
      <w:r>
        <w:rPr>
          <w:rFonts w:hint="eastAsia" w:ascii="仿宋_GB2312" w:hAnsi="仿宋_GB2312" w:eastAsia="仿宋_GB2312" w:cs="仿宋_GB2312"/>
          <w:b w:val="0"/>
          <w:bCs w:val="0"/>
          <w:i w:val="0"/>
          <w:caps w:val="0"/>
          <w:color w:val="auto"/>
          <w:spacing w:val="0"/>
          <w:sz w:val="32"/>
          <w:szCs w:val="32"/>
          <w:shd w:val="clear" w:fill="FFFFFF"/>
          <w:lang w:eastAsia="zh-CN"/>
        </w:rPr>
        <w:t>三是加强系统联动，强化镇</w:t>
      </w:r>
      <w:r>
        <w:rPr>
          <w:rFonts w:hint="eastAsia" w:ascii="仿宋_GB2312" w:hAnsi="仿宋_GB2312" w:eastAsia="仿宋_GB2312" w:cs="仿宋_GB2312"/>
          <w:b w:val="0"/>
          <w:bCs w:val="0"/>
          <w:kern w:val="2"/>
          <w:sz w:val="32"/>
          <w:szCs w:val="32"/>
          <w:lang w:val="en-US" w:eastAsia="zh-CN" w:bidi="ar"/>
        </w:rPr>
        <w:t>（场）</w:t>
      </w:r>
      <w:r>
        <w:rPr>
          <w:rFonts w:hint="eastAsia" w:ascii="仿宋_GB2312" w:hAnsi="仿宋_GB2312" w:eastAsia="仿宋_GB2312" w:cs="仿宋_GB2312"/>
          <w:b w:val="0"/>
          <w:bCs w:val="0"/>
          <w:i w:val="0"/>
          <w:caps w:val="0"/>
          <w:color w:val="auto"/>
          <w:spacing w:val="0"/>
          <w:sz w:val="32"/>
          <w:szCs w:val="32"/>
          <w:shd w:val="clear" w:fill="FFFFFF"/>
          <w:lang w:eastAsia="zh-CN"/>
        </w:rPr>
        <w:t>党校建设指导。区委党校一方面坚持现代化办学思维</w:t>
      </w:r>
      <w:r>
        <w:rPr>
          <w:rFonts w:hint="eastAsia" w:ascii="仿宋_GB2312" w:hAnsi="仿宋_GB2312" w:eastAsia="仿宋_GB2312" w:cs="仿宋_GB2312"/>
          <w:b w:val="0"/>
          <w:bCs w:val="0"/>
          <w:kern w:val="2"/>
          <w:sz w:val="32"/>
          <w:szCs w:val="32"/>
          <w:lang w:val="en-US" w:eastAsia="zh-CN" w:bidi="ar"/>
        </w:rPr>
        <w:t>，利用粤政易、粤视会等软件，搭建从区一级党校到镇一级党校的网络远程教育体系，有效实现培训课程无差别垂直下达到基层各地；另一方面坚持加强指导检查工作，选派</w:t>
      </w:r>
      <w:r>
        <w:rPr>
          <w:rFonts w:hint="eastAsia" w:ascii="仿宋_GB2312" w:hAnsi="仿宋_GB2312" w:eastAsia="仿宋_GB2312" w:cs="仿宋_GB2312"/>
          <w:kern w:val="2"/>
          <w:sz w:val="32"/>
          <w:szCs w:val="32"/>
          <w:lang w:val="en-US" w:eastAsia="zh-CN" w:bidi="ar"/>
        </w:rPr>
        <w:t>业务骨干深入各镇（场）指导开展课题调查研究，同时定期检查镇（场）党校培训及规范化建设等相关工作，</w:t>
      </w:r>
      <w:r>
        <w:rPr>
          <w:rFonts w:hint="eastAsia" w:ascii="仿宋_GB2312" w:hAnsi="仿宋_GB2312" w:eastAsia="仿宋_GB2312" w:cs="仿宋_GB2312"/>
          <w:b w:val="0"/>
          <w:i w:val="0"/>
          <w:caps w:val="0"/>
          <w:color w:val="auto"/>
          <w:spacing w:val="0"/>
          <w:sz w:val="32"/>
          <w:szCs w:val="32"/>
          <w:shd w:val="clear" w:fill="FFFFFF"/>
          <w:lang w:val="en-US" w:eastAsia="zh-CN"/>
        </w:rPr>
        <w:t>进一步推动各镇（场）党校抓好干部培训工作。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四、存在问题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none"/>
          <w:lang w:eastAsia="zh-CN"/>
        </w:rPr>
        <w:t>（一）预算绩效管理亟待完善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lang w:eastAsia="zh-CN"/>
        </w:rPr>
        <w:t>绩效目标设置</w:t>
      </w:r>
      <w:r>
        <w:rPr>
          <w:rFonts w:hint="eastAsia" w:ascii="仿宋_GB2312" w:hAnsi="仿宋_GB2312" w:eastAsia="仿宋_GB2312" w:cs="仿宋_GB2312"/>
          <w:b w:val="0"/>
          <w:bCs w:val="0"/>
          <w:sz w:val="32"/>
          <w:szCs w:val="32"/>
          <w:lang w:val="en-US" w:eastAsia="zh-CN"/>
        </w:rPr>
        <w:t>质量不高、</w:t>
      </w:r>
      <w:r>
        <w:rPr>
          <w:rFonts w:hint="eastAsia" w:ascii="仿宋_GB2312" w:hAnsi="仿宋_GB2312" w:eastAsia="仿宋_GB2312" w:cs="仿宋_GB2312"/>
          <w:b w:val="0"/>
          <w:bCs w:val="0"/>
          <w:sz w:val="32"/>
          <w:szCs w:val="32"/>
          <w:lang w:eastAsia="zh-CN"/>
        </w:rPr>
        <w:t>表述不完整，未明确部门年度主要工作产出，仅泛化指出项目实施所产生效益，</w:t>
      </w:r>
      <w:r>
        <w:rPr>
          <w:rFonts w:hint="eastAsia" w:ascii="仿宋_GB2312" w:hAnsi="仿宋_GB2312" w:eastAsia="仿宋_GB2312" w:cs="仿宋_GB2312"/>
          <w:b w:val="0"/>
          <w:bCs w:val="0"/>
          <w:sz w:val="32"/>
          <w:szCs w:val="32"/>
          <w:lang w:val="en-US" w:eastAsia="zh-CN"/>
        </w:rPr>
        <w:t>而</w:t>
      </w:r>
      <w:r>
        <w:rPr>
          <w:rFonts w:hint="eastAsia" w:ascii="仿宋_GB2312" w:hAnsi="仿宋_GB2312" w:eastAsia="仿宋_GB2312" w:cs="仿宋_GB2312"/>
          <w:b w:val="0"/>
          <w:bCs w:val="0"/>
          <w:sz w:val="32"/>
          <w:szCs w:val="32"/>
          <w:lang w:eastAsia="zh-CN"/>
        </w:rPr>
        <w:t>项目产出和效益与年度资金投入匹配度难以</w:t>
      </w:r>
      <w:r>
        <w:rPr>
          <w:rFonts w:hint="eastAsia" w:ascii="仿宋_GB2312" w:hAnsi="仿宋_GB2312" w:eastAsia="仿宋_GB2312" w:cs="仿宋_GB2312"/>
          <w:b w:val="0"/>
          <w:bCs w:val="0"/>
          <w:sz w:val="32"/>
          <w:szCs w:val="32"/>
          <w:lang w:val="en-US" w:eastAsia="zh-CN"/>
        </w:rPr>
        <w:t>判断</w:t>
      </w:r>
      <w:r>
        <w:rPr>
          <w:rFonts w:hint="eastAsia" w:ascii="仿宋_GB2312" w:hAnsi="仿宋_GB2312" w:eastAsia="仿宋_GB2312" w:cs="仿宋_GB2312"/>
          <w:b w:val="0"/>
          <w:bCs w:val="0"/>
          <w:sz w:val="32"/>
          <w:szCs w:val="32"/>
          <w:lang w:eastAsia="zh-CN"/>
        </w:rPr>
        <w:t>，特别是效益较为泛化、宏观。二是绩效指标设置不够科学合理，绩效指标对目标的分解、量化不足，</w:t>
      </w:r>
      <w:r>
        <w:rPr>
          <w:rFonts w:hint="eastAsia" w:ascii="仿宋_GB2312" w:hAnsi="仿宋_GB2312" w:eastAsia="仿宋_GB2312" w:cs="仿宋_GB2312"/>
          <w:b w:val="0"/>
          <w:bCs w:val="0"/>
          <w:sz w:val="32"/>
          <w:szCs w:val="32"/>
          <w:lang w:val="en-US" w:eastAsia="zh-CN"/>
        </w:rPr>
        <w:t>未</w:t>
      </w:r>
      <w:r>
        <w:rPr>
          <w:rFonts w:hint="eastAsia" w:ascii="仿宋_GB2312" w:hAnsi="仿宋_GB2312" w:eastAsia="仿宋_GB2312" w:cs="仿宋_GB2312"/>
          <w:b w:val="0"/>
          <w:bCs w:val="0"/>
          <w:sz w:val="32"/>
          <w:szCs w:val="32"/>
          <w:lang w:eastAsia="zh-CN"/>
        </w:rPr>
        <w:t>能全面有效地衡量项目的绩效目标实现程度，绩效指标的可衡量性有待提高。</w:t>
      </w:r>
      <w:r>
        <w:rPr>
          <w:rFonts w:hint="eastAsia" w:ascii="仿宋_GB2312" w:hAnsi="仿宋_GB2312" w:eastAsia="仿宋_GB2312" w:cs="仿宋_GB2312"/>
          <w:b w:val="0"/>
          <w:bCs w:val="0"/>
          <w:sz w:val="32"/>
          <w:szCs w:val="32"/>
          <w:lang w:val="en-US" w:eastAsia="zh-CN"/>
        </w:rPr>
        <w:t>如</w:t>
      </w:r>
      <w:r>
        <w:rPr>
          <w:rFonts w:hint="eastAsia" w:ascii="仿宋_GB2312" w:hAnsi="仿宋_GB2312" w:eastAsia="仿宋_GB2312" w:cs="仿宋_GB2312"/>
          <w:b w:val="0"/>
          <w:bCs w:val="0"/>
          <w:sz w:val="32"/>
          <w:szCs w:val="32"/>
          <w:lang w:eastAsia="zh-CN"/>
        </w:rPr>
        <w:t>缺失核心的产出数量指标，已设置的质量和时效指标科学合理性不足，难以衡量项目产出，</w:t>
      </w:r>
      <w:r>
        <w:rPr>
          <w:rFonts w:hint="eastAsia" w:ascii="仿宋_GB2312" w:hAnsi="仿宋_GB2312" w:eastAsia="仿宋_GB2312" w:cs="仿宋_GB2312"/>
          <w:b w:val="0"/>
          <w:bCs w:val="0"/>
          <w:sz w:val="32"/>
          <w:szCs w:val="32"/>
          <w:lang w:val="en-US" w:eastAsia="zh-CN"/>
        </w:rPr>
        <w:t>而</w:t>
      </w:r>
      <w:r>
        <w:rPr>
          <w:rFonts w:hint="eastAsia" w:ascii="仿宋_GB2312" w:hAnsi="仿宋_GB2312" w:eastAsia="仿宋_GB2312" w:cs="仿宋_GB2312"/>
          <w:b w:val="0"/>
          <w:bCs w:val="0"/>
          <w:sz w:val="32"/>
          <w:szCs w:val="32"/>
          <w:lang w:eastAsia="zh-CN"/>
        </w:rPr>
        <w:t>效益指标量化不足且指标名称不符合指标设置原则。三是绩效管理制度建设存在缺漏，目前暂未单独出台资金预算绩效管理方面（包含绩效目标管理、绩效运行监控绩效评价管理和评价结果应用等）的制度，已</w:t>
      </w:r>
      <w:r>
        <w:rPr>
          <w:rFonts w:hint="eastAsia" w:ascii="仿宋_GB2312" w:hAnsi="仿宋_GB2312" w:eastAsia="仿宋_GB2312" w:cs="仿宋_GB2312"/>
          <w:sz w:val="32"/>
          <w:szCs w:val="32"/>
          <w:lang w:eastAsia="zh-CN"/>
        </w:rPr>
        <w:t>出台的预算及财务管理制度中也未明确提及上述预算绩效管理方面的内容。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（二）固定资产管理有待强化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区委党校</w:t>
      </w:r>
      <w:r>
        <w:rPr>
          <w:rFonts w:hint="eastAsia" w:ascii="仿宋_GB2312" w:hAnsi="仿宋_GB2312" w:eastAsia="仿宋_GB2312" w:cs="仿宋_GB2312"/>
          <w:sz w:val="32"/>
          <w:szCs w:val="32"/>
          <w:lang w:eastAsia="zh-CN"/>
        </w:rPr>
        <w:t>制定了《中共潮州市潮安区委党校预算管理制度》、《</w:t>
      </w:r>
      <w:r>
        <w:rPr>
          <w:rFonts w:hint="eastAsia" w:ascii="仿宋_GB2312" w:hAnsi="仿宋_GB2312" w:eastAsia="仿宋_GB2312" w:cs="仿宋_GB2312"/>
          <w:sz w:val="32"/>
          <w:szCs w:val="32"/>
          <w:lang w:val="en-US" w:eastAsia="zh-CN"/>
        </w:rPr>
        <w:t>中共潮州市潮安区委党校政府采购内部管理控制制度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中共潮州市潮安区委党校行政后勤工作管理制度</w:t>
      </w:r>
      <w:r>
        <w:rPr>
          <w:rFonts w:hint="eastAsia" w:ascii="仿宋_GB2312" w:hAnsi="仿宋_GB2312" w:eastAsia="仿宋_GB2312" w:cs="仿宋_GB2312"/>
          <w:sz w:val="32"/>
          <w:szCs w:val="32"/>
          <w:lang w:eastAsia="zh-CN"/>
        </w:rPr>
        <w:t>》等相关管理办法，规章制度较为健全，固定资产实物管理按部门分类，责任到人。</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lang w:eastAsia="zh-CN"/>
        </w:rPr>
        <w:t>经现场抽查盘点固定资产发现，</w:t>
      </w:r>
      <w:r>
        <w:rPr>
          <w:rFonts w:hint="eastAsia" w:ascii="仿宋_GB2312" w:hAnsi="仿宋_GB2312" w:eastAsia="仿宋_GB2312" w:cs="仿宋_GB2312"/>
          <w:sz w:val="32"/>
          <w:szCs w:val="32"/>
          <w:lang w:val="en-US" w:eastAsia="zh-CN"/>
        </w:rPr>
        <w:t>固定资产日常使用登记并未统一口径，如资产存放地点或是以使用股室为登记对象，或是以使用人为登记对象；另有存在部分资产卡片信息不完整、未及时更新的现象。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五、相关建议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完善预算绩效管理体系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lang w:val="en-US" w:eastAsia="zh-CN"/>
        </w:rPr>
        <w:t>应</w:t>
      </w:r>
      <w:r>
        <w:rPr>
          <w:rFonts w:hint="eastAsia" w:ascii="仿宋_GB2312" w:hAnsi="仿宋_GB2312" w:eastAsia="仿宋_GB2312" w:cs="仿宋_GB2312"/>
          <w:b w:val="0"/>
          <w:bCs w:val="0"/>
          <w:sz w:val="32"/>
          <w:szCs w:val="32"/>
          <w:lang w:eastAsia="zh-CN"/>
        </w:rPr>
        <w:t>建立健全绩效目标编报审核工作指引，</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lang w:eastAsia="zh-CN"/>
        </w:rPr>
        <w:t>组织编制预算绩效目标时，遵循“指向明确、细化量化、合理可行、相应匹配、整体一致”的原则，设置全面合理、可衡量、可考核的绩效目标。</w:t>
      </w:r>
      <w:r>
        <w:rPr>
          <w:rFonts w:hint="eastAsia" w:ascii="仿宋_GB2312" w:hAnsi="仿宋_GB2312" w:eastAsia="仿宋_GB2312" w:cs="仿宋_GB2312"/>
          <w:b w:val="0"/>
          <w:bCs w:val="0"/>
          <w:sz w:val="32"/>
          <w:szCs w:val="32"/>
          <w:lang w:val="en-US" w:eastAsia="zh-CN"/>
        </w:rPr>
        <w:t>二是应</w:t>
      </w:r>
      <w:r>
        <w:rPr>
          <w:rFonts w:hint="eastAsia" w:ascii="仿宋_GB2312" w:hAnsi="仿宋_GB2312" w:eastAsia="仿宋_GB2312" w:cs="仿宋_GB2312"/>
          <w:b w:val="0"/>
          <w:bCs w:val="0"/>
          <w:sz w:val="32"/>
          <w:szCs w:val="32"/>
          <w:lang w:eastAsia="zh-CN"/>
        </w:rPr>
        <w:t>以制度为抓手，通过明确责任分工和各环节工作要点，增强部门全面实施预算绩效管理措施的可操作性，将绩效管理的要求落实落细落到位。</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lang w:eastAsia="zh-CN"/>
        </w:rPr>
        <w:t>健全绩效问题整改落实机制，强化闭环管理。对于在绩效评价工作中发现的存在问题，</w:t>
      </w:r>
      <w:r>
        <w:rPr>
          <w:rFonts w:hint="eastAsia" w:ascii="仿宋_GB2312" w:hAnsi="仿宋_GB2312" w:eastAsia="仿宋_GB2312" w:cs="仿宋_GB2312"/>
          <w:b w:val="0"/>
          <w:bCs w:val="0"/>
          <w:sz w:val="32"/>
          <w:szCs w:val="32"/>
          <w:lang w:val="en-US" w:eastAsia="zh-CN"/>
        </w:rPr>
        <w:t>区委党校</w:t>
      </w:r>
      <w:r>
        <w:rPr>
          <w:rFonts w:hint="eastAsia" w:ascii="仿宋_GB2312" w:hAnsi="仿宋_GB2312" w:eastAsia="仿宋_GB2312" w:cs="仿宋_GB2312"/>
          <w:b w:val="0"/>
          <w:bCs w:val="0"/>
          <w:sz w:val="32"/>
          <w:szCs w:val="32"/>
          <w:lang w:eastAsia="zh-CN"/>
        </w:rPr>
        <w:t>应制定有针对性、可操作性的措施予以整改，同时应注重明确分工责任、整改时限等要求，做好整改落实工作台账，持续跟踪进展，将评价结果运用到实处。</w:t>
      </w: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 w:val="0"/>
          <w:bCs w:val="0"/>
          <w:sz w:val="32"/>
          <w:szCs w:val="32"/>
          <w:lang w:eastAsia="zh-CN"/>
        </w:rPr>
        <w:t>对于历年存在的同质化问题，更应聚焦薄弱环节，抓紧补齐短板，切实整</w:t>
      </w:r>
      <w:r>
        <w:rPr>
          <w:rFonts w:hint="eastAsia" w:ascii="仿宋_GB2312" w:hAnsi="仿宋_GB2312" w:eastAsia="仿宋_GB2312" w:cs="仿宋_GB2312"/>
          <w:sz w:val="32"/>
          <w:szCs w:val="32"/>
          <w:lang w:eastAsia="zh-CN"/>
        </w:rPr>
        <w:t>改，避免问题持续同质化，影响工作实效。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）强化固定资产管理意识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lang w:eastAsia="zh-CN"/>
        </w:rPr>
        <w:t>对本次评价发现问题，及时采取有效措施</w:t>
      </w:r>
      <w:r>
        <w:rPr>
          <w:rFonts w:hint="eastAsia" w:ascii="仿宋_GB2312" w:hAnsi="仿宋_GB2312" w:eastAsia="仿宋_GB2312" w:cs="仿宋_GB2312"/>
          <w:b w:val="0"/>
          <w:bCs w:val="0"/>
          <w:sz w:val="32"/>
          <w:szCs w:val="32"/>
          <w:lang w:val="en-US" w:eastAsia="zh-CN"/>
        </w:rPr>
        <w:t>进行整改</w:t>
      </w:r>
      <w:r>
        <w:rPr>
          <w:rFonts w:hint="eastAsia" w:ascii="仿宋_GB2312" w:hAnsi="仿宋_GB2312" w:eastAsia="仿宋_GB2312" w:cs="仿宋_GB2312"/>
          <w:b w:val="0"/>
          <w:bCs w:val="0"/>
          <w:sz w:val="32"/>
          <w:szCs w:val="32"/>
          <w:lang w:eastAsia="zh-CN"/>
        </w:rPr>
        <w:t>，建立健全固定资产管理台账，制定资产编号，</w:t>
      </w:r>
      <w:r>
        <w:rPr>
          <w:rFonts w:hint="eastAsia" w:ascii="仿宋_GB2312" w:hAnsi="仿宋_GB2312" w:eastAsia="仿宋_GB2312" w:cs="仿宋_GB2312"/>
          <w:b w:val="0"/>
          <w:bCs w:val="0"/>
          <w:sz w:val="32"/>
          <w:szCs w:val="32"/>
          <w:lang w:val="en-US" w:eastAsia="zh-CN"/>
        </w:rPr>
        <w:t>更新</w:t>
      </w:r>
      <w:r>
        <w:rPr>
          <w:rFonts w:hint="eastAsia" w:ascii="仿宋_GB2312" w:hAnsi="仿宋_GB2312" w:eastAsia="仿宋_GB2312" w:cs="仿宋_GB2312"/>
          <w:b w:val="0"/>
          <w:bCs w:val="0"/>
          <w:sz w:val="32"/>
          <w:szCs w:val="32"/>
          <w:lang w:eastAsia="zh-CN"/>
        </w:rPr>
        <w:t>资产标签，规范管理各项资产。</w:t>
      </w: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lang w:eastAsia="zh-CN"/>
        </w:rPr>
        <w:t>要求项目实施单位及时衔接国家最新规定要求，建立健全国有资产管理制度，明确资产购置、会计核算、出租出让、处置等管理程序，严格按照管理制度执行，确保资产管理受控。</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lang w:eastAsia="zh-CN"/>
        </w:rPr>
        <w:t>应做实做细资产配置、验收、登记、使用、保管、处置、清查等全链条管理工作，严把资产配置“入口关”和资产处置“出口关</w:t>
      </w:r>
      <w:r>
        <w:rPr>
          <w:rFonts w:hint="eastAsia" w:ascii="仿宋_GB2312" w:hAnsi="仿宋_GB2312" w:eastAsia="仿宋_GB2312" w:cs="仿宋_GB2312"/>
          <w:sz w:val="32"/>
          <w:szCs w:val="32"/>
          <w:lang w:eastAsia="zh-CN"/>
        </w:rPr>
        <w:t>”，优化各类在用资产管理，最大限度发挥资产使用价值。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附件：绩效评价指标得分情况</w:t>
      </w:r>
    </w:p>
    <w:sectPr>
      <w:footerReference r:id="rId3" w:type="default"/>
      <w:pgSz w:w="11906" w:h="16838"/>
      <w:pgMar w:top="2098" w:right="1474" w:bottom="1984" w:left="1587" w:header="851" w:footer="992" w:gutter="0"/>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bottomMargin">
                <wp:posOffset>252095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9.35pt;margin-top:762.55pt;height:144pt;width:144pt;mso-position-horizontal-relative:page;mso-position-vertical-relative:page;mso-wrap-style:none;z-index:251658240;mso-width-relative:page;mso-height-relative:page;" filled="f" stroked="f" coordsize="21600,21600" o:gfxdata="UEsDBAoAAAAAAIdO4kAAAAAAAAAAAAAAAAAEAAAAZHJzL1BLAwQUAAAACACHTuJAufYH1NQAAAAH&#10;AQAADwAAAGRycy9kb3ducmV2LnhtbE2PwU7DMBBE70j8g7VI3KjTFJGQxqlERTgi0XDg6MbbJBCv&#10;I9tNw9+znOA4M6uZt+VusaOY0YfBkYL1KgGB1DozUKfgvanvchAhajJ6dIQKvjHArrq+KnVh3IXe&#10;cD7ETnAJhUIr6GOcCilD26PVYeUmJM5OzlsdWfpOGq8vXG5HmSbJg7R6IF7o9YT7Htuvw9kq2NdN&#10;42cMfvzAl3rz+fp0j8+LUrc362QLIuIS/47hF5/RoWKmozuTCWJUwI9EBZvHDASnaZ6zcWQjzTKQ&#10;VSn/81c/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fYH1NQAAAAH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NDQzNmNiZTA5N2M5YTJiY2NiM2FkN2VjM2Y0YTEifQ=="/>
  </w:docVars>
  <w:rsids>
    <w:rsidRoot w:val="00000000"/>
    <w:rsid w:val="01713A48"/>
    <w:rsid w:val="023E0228"/>
    <w:rsid w:val="028F4051"/>
    <w:rsid w:val="029552E4"/>
    <w:rsid w:val="036175F8"/>
    <w:rsid w:val="03E71B79"/>
    <w:rsid w:val="05056FA8"/>
    <w:rsid w:val="058108CF"/>
    <w:rsid w:val="05873335"/>
    <w:rsid w:val="070D0E34"/>
    <w:rsid w:val="0981272A"/>
    <w:rsid w:val="0B53589C"/>
    <w:rsid w:val="0BAF05D9"/>
    <w:rsid w:val="0C7E343F"/>
    <w:rsid w:val="0D194A7F"/>
    <w:rsid w:val="0D6A272D"/>
    <w:rsid w:val="0EB6312C"/>
    <w:rsid w:val="0EF868AA"/>
    <w:rsid w:val="10D645AB"/>
    <w:rsid w:val="11546EB1"/>
    <w:rsid w:val="11994105"/>
    <w:rsid w:val="11D52F3A"/>
    <w:rsid w:val="145739BE"/>
    <w:rsid w:val="147E2A12"/>
    <w:rsid w:val="14A81AA5"/>
    <w:rsid w:val="1686287F"/>
    <w:rsid w:val="176E1616"/>
    <w:rsid w:val="18041353"/>
    <w:rsid w:val="1A5A0DE2"/>
    <w:rsid w:val="1BCC7695"/>
    <w:rsid w:val="1E62755C"/>
    <w:rsid w:val="1E8C09B2"/>
    <w:rsid w:val="20E81B37"/>
    <w:rsid w:val="243B4453"/>
    <w:rsid w:val="24F00C21"/>
    <w:rsid w:val="24F81EF4"/>
    <w:rsid w:val="252234C7"/>
    <w:rsid w:val="26041EDC"/>
    <w:rsid w:val="26C827EC"/>
    <w:rsid w:val="275A4643"/>
    <w:rsid w:val="279E5A3E"/>
    <w:rsid w:val="27AF6124"/>
    <w:rsid w:val="27E41FBB"/>
    <w:rsid w:val="27FB4BC0"/>
    <w:rsid w:val="27FF3EBE"/>
    <w:rsid w:val="282D31EE"/>
    <w:rsid w:val="28991C4F"/>
    <w:rsid w:val="29F53767"/>
    <w:rsid w:val="2A427FDC"/>
    <w:rsid w:val="2A8F34A6"/>
    <w:rsid w:val="2B5068AD"/>
    <w:rsid w:val="2BEA301E"/>
    <w:rsid w:val="2CF0220D"/>
    <w:rsid w:val="2D344878"/>
    <w:rsid w:val="2DF85CEC"/>
    <w:rsid w:val="2E5120C5"/>
    <w:rsid w:val="31651C59"/>
    <w:rsid w:val="31A26392"/>
    <w:rsid w:val="33341FAF"/>
    <w:rsid w:val="33CE07BA"/>
    <w:rsid w:val="346D6DD8"/>
    <w:rsid w:val="369C4204"/>
    <w:rsid w:val="3802344A"/>
    <w:rsid w:val="39C9123A"/>
    <w:rsid w:val="3A492859"/>
    <w:rsid w:val="3AC23427"/>
    <w:rsid w:val="3BCA731C"/>
    <w:rsid w:val="3D662CC4"/>
    <w:rsid w:val="3EAD002E"/>
    <w:rsid w:val="3FD86CD9"/>
    <w:rsid w:val="41624906"/>
    <w:rsid w:val="42B3419E"/>
    <w:rsid w:val="43AA2637"/>
    <w:rsid w:val="44F3756E"/>
    <w:rsid w:val="487A4D61"/>
    <w:rsid w:val="49BA7CB4"/>
    <w:rsid w:val="49F579EF"/>
    <w:rsid w:val="4B045B77"/>
    <w:rsid w:val="4B1065AB"/>
    <w:rsid w:val="4C034033"/>
    <w:rsid w:val="4FBF2263"/>
    <w:rsid w:val="5151693A"/>
    <w:rsid w:val="51BA2211"/>
    <w:rsid w:val="52AF08CC"/>
    <w:rsid w:val="52D32775"/>
    <w:rsid w:val="52DB1E9E"/>
    <w:rsid w:val="538B218A"/>
    <w:rsid w:val="54B0487D"/>
    <w:rsid w:val="555005BB"/>
    <w:rsid w:val="55B12D47"/>
    <w:rsid w:val="55D6461E"/>
    <w:rsid w:val="56524217"/>
    <w:rsid w:val="5724015E"/>
    <w:rsid w:val="574239BA"/>
    <w:rsid w:val="579B088D"/>
    <w:rsid w:val="57F64528"/>
    <w:rsid w:val="58C67F9A"/>
    <w:rsid w:val="5ABE2BD8"/>
    <w:rsid w:val="5B6149FC"/>
    <w:rsid w:val="5BF30FF6"/>
    <w:rsid w:val="5C12794B"/>
    <w:rsid w:val="5CDB0936"/>
    <w:rsid w:val="5DA455C3"/>
    <w:rsid w:val="60683AAB"/>
    <w:rsid w:val="61416848"/>
    <w:rsid w:val="61C316DA"/>
    <w:rsid w:val="63287654"/>
    <w:rsid w:val="65452508"/>
    <w:rsid w:val="66A566C9"/>
    <w:rsid w:val="67893597"/>
    <w:rsid w:val="67B63927"/>
    <w:rsid w:val="680A49F4"/>
    <w:rsid w:val="68F117DF"/>
    <w:rsid w:val="693535B5"/>
    <w:rsid w:val="69482477"/>
    <w:rsid w:val="698C2CAC"/>
    <w:rsid w:val="69A85487"/>
    <w:rsid w:val="69C93F57"/>
    <w:rsid w:val="6A3D08BE"/>
    <w:rsid w:val="6B26063B"/>
    <w:rsid w:val="6E56752E"/>
    <w:rsid w:val="6E62549C"/>
    <w:rsid w:val="6E921943"/>
    <w:rsid w:val="6F1840E0"/>
    <w:rsid w:val="70570DA1"/>
    <w:rsid w:val="712F6B76"/>
    <w:rsid w:val="717653A4"/>
    <w:rsid w:val="71BF0568"/>
    <w:rsid w:val="72C81B7A"/>
    <w:rsid w:val="72EB2F86"/>
    <w:rsid w:val="72EF42D2"/>
    <w:rsid w:val="72F56827"/>
    <w:rsid w:val="72FE3864"/>
    <w:rsid w:val="730E3652"/>
    <w:rsid w:val="73292C29"/>
    <w:rsid w:val="73761288"/>
    <w:rsid w:val="73D20B8D"/>
    <w:rsid w:val="74345642"/>
    <w:rsid w:val="74C552DD"/>
    <w:rsid w:val="74DD0B3B"/>
    <w:rsid w:val="75D21BA2"/>
    <w:rsid w:val="7748550E"/>
    <w:rsid w:val="77AB4401"/>
    <w:rsid w:val="77B03AF1"/>
    <w:rsid w:val="77C84ECD"/>
    <w:rsid w:val="77D05FE1"/>
    <w:rsid w:val="77FF0721"/>
    <w:rsid w:val="785722F7"/>
    <w:rsid w:val="797E534D"/>
    <w:rsid w:val="7BBF30A8"/>
    <w:rsid w:val="7C713E35"/>
    <w:rsid w:val="7D2268E1"/>
    <w:rsid w:val="7D2F5A59"/>
    <w:rsid w:val="7D626DFC"/>
    <w:rsid w:val="7DA40606"/>
    <w:rsid w:val="7FAB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35"/>
    <w:pPr>
      <w:spacing w:line="240" w:lineRule="auto"/>
      <w:ind w:firstLine="0" w:firstLineChars="0"/>
      <w:jc w:val="center"/>
    </w:pPr>
    <w:rPr>
      <w:rFonts w:eastAsia="黑体" w:asciiTheme="majorHAnsi" w:hAnsiTheme="majorHAnsi" w:cstheme="majorBidi"/>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2024-11-28T02:27:00Z</dcterms:created>
  <dc:creator>Administrator</dc:creator>
  <cp:lastModifiedBy>Administrator</cp:lastModifiedBy>
  <cp:lastPrinted>2025-01-09T03:45:00Z</cp:lastPrinted>
  <dcterms:modified xsi:type="dcterms:W3CDTF">2025-07-21T07:06:44Z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0ABB3834DEF04F519B214AB04D94E960_12</vt:lpwstr>
  </property>
</Properties>
</file>